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253" w:rsidRPr="00754ADC" w:rsidRDefault="00214F59" w:rsidP="00F66253">
      <w:pPr>
        <w:spacing w:after="0" w:line="240" w:lineRule="auto"/>
        <w:jc w:val="both"/>
        <w:rPr>
          <w:rFonts w:cs="Arial"/>
          <w:sz w:val="14"/>
        </w:rPr>
      </w:pPr>
      <w:r>
        <w:rPr>
          <w:rFonts w:cs="Arial"/>
          <w:noProof/>
          <w:sz w:val="14"/>
          <w:lang w:eastAsia="pl-PL"/>
        </w:rPr>
        <w:drawing>
          <wp:anchor distT="0" distB="0" distL="114300" distR="114300" simplePos="0" relativeHeight="251662336" behindDoc="0" locked="0" layoutInCell="1" allowOverlap="1" wp14:anchorId="36D8DBEF" wp14:editId="387A31A6">
            <wp:simplePos x="0" y="0"/>
            <wp:positionH relativeFrom="column">
              <wp:posOffset>4190365</wp:posOffset>
            </wp:positionH>
            <wp:positionV relativeFrom="paragraph">
              <wp:posOffset>100965</wp:posOffset>
            </wp:positionV>
            <wp:extent cx="1450340" cy="464185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253">
        <w:rPr>
          <w:rFonts w:cs="Arial"/>
          <w:noProof/>
          <w:sz w:val="1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1C752" wp14:editId="1D789AD7">
                <wp:simplePos x="0" y="0"/>
                <wp:positionH relativeFrom="column">
                  <wp:posOffset>-61595</wp:posOffset>
                </wp:positionH>
                <wp:positionV relativeFrom="paragraph">
                  <wp:posOffset>-419100</wp:posOffset>
                </wp:positionV>
                <wp:extent cx="5915025" cy="1514475"/>
                <wp:effectExtent l="0" t="0" r="9525" b="9525"/>
                <wp:wrapTopAndBottom/>
                <wp:docPr id="10" name="Prostokąt z rogami zaokrąglonymi z jednej stro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514475"/>
                        </a:xfrm>
                        <a:prstGeom prst="round2Same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88"/>
                              <w:gridCol w:w="4382"/>
                            </w:tblGrid>
                            <w:tr w:rsidR="007C54C2" w:rsidRPr="00985329" w:rsidTr="004407F1">
                              <w:tc>
                                <w:tcPr>
                                  <w:tcW w:w="9212" w:type="dxa"/>
                                  <w:gridSpan w:val="2"/>
                                  <w:shd w:val="clear" w:color="auto" w:fill="auto"/>
                                </w:tcPr>
                                <w:p w:rsidR="00F66253" w:rsidRPr="005E5BB1" w:rsidRDefault="000D0FD7" w:rsidP="002475AA">
                                  <w:pPr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32"/>
                                      <w:lang w:val="en-GB"/>
                                    </w:rPr>
                                  </w:pPr>
                                  <w:r w:rsidRPr="005E5BB1"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36"/>
                                      <w:lang w:val="en-GB"/>
                                    </w:rPr>
                                    <w:t>Individual Health Insurance</w:t>
                                  </w:r>
                                </w:p>
                                <w:p w:rsidR="00F66253" w:rsidRPr="000D0FD7" w:rsidRDefault="000D0FD7" w:rsidP="004407F1">
                                  <w:pPr>
                                    <w:jc w:val="both"/>
                                    <w:rPr>
                                      <w:rFonts w:cs="Arial"/>
                                      <w:color w:val="FFFFFF" w:themeColor="background1"/>
                                      <w:lang w:val="en-GB"/>
                                    </w:rPr>
                                  </w:pPr>
                                  <w:r w:rsidRPr="000D0FD7">
                                    <w:rPr>
                                      <w:rFonts w:cs="Arial"/>
                                      <w:color w:val="FFFFFF" w:themeColor="background1"/>
                                      <w:lang w:val="en-GB"/>
                                    </w:rPr>
                                    <w:t>A document containing information on</w:t>
                                  </w: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lang w:val="en-GB"/>
                                    </w:rPr>
                                    <w:t xml:space="preserve"> an insurance product</w:t>
                                  </w:r>
                                </w:p>
                              </w:tc>
                            </w:tr>
                            <w:tr w:rsidR="00F2544D" w:rsidRPr="00985329" w:rsidTr="004407F1">
                              <w:trPr>
                                <w:trHeight w:val="602"/>
                              </w:trPr>
                              <w:tc>
                                <w:tcPr>
                                  <w:tcW w:w="4606" w:type="dxa"/>
                                  <w:shd w:val="clear" w:color="auto" w:fill="auto"/>
                                </w:tcPr>
                                <w:p w:rsidR="00F66253" w:rsidRPr="00091B1D" w:rsidRDefault="00F66253" w:rsidP="004407F1">
                                  <w:pPr>
                                    <w:jc w:val="both"/>
                                    <w:rPr>
                                      <w:rFonts w:cs="Arial"/>
                                      <w:color w:val="FFFFFF" w:themeColor="background1"/>
                                      <w:sz w:val="18"/>
                                    </w:rPr>
                                  </w:pPr>
                                </w:p>
                                <w:p w:rsidR="00256533" w:rsidRDefault="00AA75F3" w:rsidP="00754ADC">
                                  <w:pPr>
                                    <w:rPr>
                                      <w:rFonts w:cs="Arial"/>
                                      <w:color w:val="FFFFFF" w:themeColor="background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Company</w:t>
                                  </w:r>
                                  <w:r w:rsidR="00F66253" w:rsidRPr="00091B1D">
                                    <w:rPr>
                                      <w:rFonts w:cs="Arial"/>
                                      <w:color w:val="FFFFFF" w:themeColor="background1"/>
                                      <w:sz w:val="18"/>
                                    </w:rPr>
                                    <w:t>:</w:t>
                                  </w:r>
                                </w:p>
                                <w:p w:rsidR="00754ADC" w:rsidRPr="00F2544D" w:rsidRDefault="00754ADC" w:rsidP="00754ADC">
                                  <w:pPr>
                                    <w:rPr>
                                      <w:rFonts w:cs="Arial"/>
                                      <w:color w:val="FFFFFF" w:themeColor="background1"/>
                                      <w:sz w:val="18"/>
                                      <w:lang w:val="en-GB"/>
                                    </w:rPr>
                                  </w:pPr>
                                  <w:r w:rsidRPr="00F2544D">
                                    <w:rPr>
                                      <w:rFonts w:cs="Arial"/>
                                      <w:color w:val="FFFFFF" w:themeColor="background1"/>
                                      <w:sz w:val="18"/>
                                      <w:lang w:val="en-GB"/>
                                    </w:rPr>
                                    <w:t>Towarzystwo Ubezpi</w:t>
                                  </w:r>
                                  <w:r w:rsidR="00256533" w:rsidRPr="00F2544D">
                                    <w:rPr>
                                      <w:rFonts w:cs="Arial"/>
                                      <w:color w:val="FFFFFF" w:themeColor="background1"/>
                                      <w:sz w:val="18"/>
                                      <w:lang w:val="en-GB"/>
                                    </w:rPr>
                                    <w:t>eczeń ZDROWIE S.A.</w:t>
                                  </w:r>
                                  <w:r w:rsidR="00AA75F3" w:rsidRPr="00F2544D">
                                    <w:rPr>
                                      <w:rFonts w:cs="Arial"/>
                                      <w:color w:val="FFFFFF" w:themeColor="background1"/>
                                      <w:sz w:val="18"/>
                                      <w:lang w:val="en-GB"/>
                                    </w:rPr>
                                    <w:t xml:space="preserve"> with registered office in Gdynia</w:t>
                                  </w:r>
                                  <w:r w:rsidRPr="00F2544D">
                                    <w:rPr>
                                      <w:rFonts w:cs="Arial"/>
                                      <w:color w:val="FFFFFF" w:themeColor="background1"/>
                                      <w:sz w:val="18"/>
                                      <w:lang w:val="en-GB"/>
                                    </w:rPr>
                                    <w:t xml:space="preserve">, </w:t>
                                  </w:r>
                                  <w:r w:rsidR="00AA75F3" w:rsidRPr="00F2544D">
                                    <w:rPr>
                                      <w:rFonts w:cs="Arial"/>
                                      <w:color w:val="FFFFFF" w:themeColor="background1"/>
                                      <w:sz w:val="18"/>
                                      <w:lang w:val="en-GB"/>
                                    </w:rPr>
                                    <w:t xml:space="preserve">permit of 28th June, 2010, scope of </w:t>
                                  </w:r>
                                  <w:r w:rsidR="00F2544D" w:rsidRPr="00F2544D">
                                    <w:rPr>
                                      <w:rFonts w:cs="Arial"/>
                                      <w:color w:val="FFFFFF" w:themeColor="background1"/>
                                      <w:sz w:val="18"/>
                                      <w:lang w:val="en-GB"/>
                                    </w:rPr>
                                    <w:t xml:space="preserve">business </w:t>
                                  </w:r>
                                  <w:r w:rsidR="00AA75F3" w:rsidRPr="00F2544D">
                                    <w:rPr>
                                      <w:rFonts w:cs="Arial"/>
                                      <w:color w:val="FFFFFF" w:themeColor="background1"/>
                                      <w:sz w:val="18"/>
                                      <w:lang w:val="en-GB"/>
                                    </w:rPr>
                                    <w:t>activity</w:t>
                                  </w:r>
                                  <w:r w:rsidRPr="00F2544D">
                                    <w:rPr>
                                      <w:rFonts w:cs="Arial"/>
                                      <w:color w:val="FFFFFF" w:themeColor="background1"/>
                                      <w:sz w:val="18"/>
                                      <w:lang w:val="en-GB"/>
                                    </w:rPr>
                                    <w:t xml:space="preserve"> – </w:t>
                                  </w:r>
                                  <w:r w:rsidR="00F2544D" w:rsidRPr="00F2544D">
                                    <w:rPr>
                                      <w:rFonts w:cs="Arial"/>
                                      <w:color w:val="FFFFFF" w:themeColor="background1"/>
                                      <w:sz w:val="18"/>
                                      <w:lang w:val="en-GB"/>
                                    </w:rPr>
                                    <w:t xml:space="preserve">insurance against sickness (group 2) in </w:t>
                                  </w:r>
                                  <w:r w:rsidR="00F2544D">
                                    <w:rPr>
                                      <w:rFonts w:cs="Arial"/>
                                      <w:color w:val="FFFFFF" w:themeColor="background1"/>
                                      <w:sz w:val="18"/>
                                      <w:lang w:val="en-GB"/>
                                    </w:rPr>
                                    <w:t>personal and property insurance section</w:t>
                                  </w:r>
                                  <w:r w:rsidRPr="00F2544D">
                                    <w:rPr>
                                      <w:rFonts w:cs="Arial"/>
                                      <w:color w:val="FFFFFF" w:themeColor="background1"/>
                                      <w:sz w:val="18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606" w:type="dxa"/>
                                  <w:shd w:val="clear" w:color="auto" w:fill="auto"/>
                                </w:tcPr>
                                <w:p w:rsidR="00F66253" w:rsidRPr="00F2544D" w:rsidRDefault="00F66253" w:rsidP="004407F1">
                                  <w:pPr>
                                    <w:jc w:val="both"/>
                                    <w:rPr>
                                      <w:rFonts w:cs="Arial"/>
                                      <w:color w:val="FFFFFF" w:themeColor="background1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  <w:p w:rsidR="00F663A5" w:rsidRPr="00F663A5" w:rsidRDefault="00AA75F3" w:rsidP="008727EF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0"/>
                                      <w:lang w:val="en-GB"/>
                                    </w:rPr>
                                  </w:pPr>
                                  <w:r w:rsidRPr="00F663A5"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0"/>
                                      <w:lang w:val="en-GB"/>
                                    </w:rPr>
                                    <w:t>Product</w:t>
                                  </w:r>
                                  <w:r w:rsidR="00F66253" w:rsidRPr="00F663A5"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0"/>
                                      <w:lang w:val="en-GB"/>
                                    </w:rPr>
                                    <w:t xml:space="preserve">: </w:t>
                                  </w:r>
                                  <w:r w:rsidR="00F663A5"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0"/>
                                      <w:lang w:val="en-GB"/>
                                    </w:rPr>
                                    <w:t>“</w:t>
                                  </w:r>
                                  <w:r w:rsidR="00605B12" w:rsidRPr="00F663A5"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0"/>
                                      <w:lang w:val="en-GB"/>
                                    </w:rPr>
                                    <w:t>POLISA ZDROWIE</w:t>
                                  </w:r>
                                  <w:r w:rsidR="00F663A5" w:rsidRPr="00F663A5"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0"/>
                                      <w:lang w:val="en-GB"/>
                                    </w:rPr>
                                    <w:t xml:space="preserve">” </w:t>
                                  </w:r>
                                </w:p>
                                <w:p w:rsidR="00F66253" w:rsidRPr="00F663A5" w:rsidRDefault="00F663A5" w:rsidP="008727EF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18"/>
                                    </w:rPr>
                                  </w:pPr>
                                  <w:r w:rsidRPr="00F663A5"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(“HEALTH PO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LICY”)</w:t>
                                  </w:r>
                                </w:p>
                                <w:p w:rsidR="00F66253" w:rsidRPr="00091B1D" w:rsidRDefault="00F66253" w:rsidP="004407F1">
                                  <w:pPr>
                                    <w:jc w:val="both"/>
                                    <w:rPr>
                                      <w:rFonts w:cs="Arial"/>
                                      <w:color w:val="FFFFFF" w:themeColor="background1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544D" w:rsidRPr="00985329" w:rsidTr="004407F1">
                              <w:trPr>
                                <w:trHeight w:val="602"/>
                              </w:trPr>
                              <w:tc>
                                <w:tcPr>
                                  <w:tcW w:w="4606" w:type="dxa"/>
                                  <w:shd w:val="clear" w:color="auto" w:fill="auto"/>
                                </w:tcPr>
                                <w:p w:rsidR="00F66253" w:rsidRDefault="00F66253" w:rsidP="00C643E8">
                                  <w:pPr>
                                    <w:jc w:val="right"/>
                                    <w:rPr>
                                      <w:rFonts w:cs="Arial"/>
                                      <w:color w:val="FFFFFF" w:themeColor="background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6" w:type="dxa"/>
                                  <w:shd w:val="clear" w:color="auto" w:fill="auto"/>
                                </w:tcPr>
                                <w:p w:rsidR="00F66253" w:rsidRDefault="00F66253" w:rsidP="004407F1">
                                  <w:pPr>
                                    <w:jc w:val="both"/>
                                    <w:rPr>
                                      <w:rFonts w:cs="Arial"/>
                                      <w:color w:val="FFFFFF" w:themeColor="background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66253" w:rsidRDefault="00F66253" w:rsidP="00F662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1C752" id="Prostokąt z rogami zaokrąglonymi z jednej strony 10" o:spid="_x0000_s1026" style="position:absolute;left:0;text-align:left;margin-left:-4.85pt;margin-top:-33pt;width:465.7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15025,1514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" adj="-11796480,,5400" path="m252418,l5662607,v139407,,252418,113011,252418,252418l5915025,1514475r,l,1514475r,l,252418c,113011,113011,,252418,xe" fillcolor="#4f81bd" stroked="f" strokeweight="2pt">
                <v:stroke joinstyle="miter"/>
                <v:formulas/>
                <v:path arrowok="t" o:connecttype="custom" o:connectlocs="252418,0;5662607,0;5915025,252418;5915025,1514475;5915025,1514475;0,1514475;0,1514475;0,252418;252418,0" o:connectangles="0,0,0,0,0,0,0,0,0" textboxrect="0,0,5915025,1514475"/>
                <v:textbox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88"/>
                        <w:gridCol w:w="4382"/>
                      </w:tblGrid>
                      <w:tr w:rsidR="007C54C2" w:rsidRPr="00985329" w:rsidTr="004407F1">
                        <w:tc>
                          <w:tcPr>
                            <w:tcW w:w="9212" w:type="dxa"/>
                            <w:gridSpan w:val="2"/>
                            <w:shd w:val="clear" w:color="auto" w:fill="auto"/>
                          </w:tcPr>
                          <w:p w:rsidR="00F66253" w:rsidRPr="005E5BB1" w:rsidRDefault="000D0FD7" w:rsidP="002475AA">
                            <w:pPr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  <w:lang w:val="en-GB"/>
                              </w:rPr>
                            </w:pPr>
                            <w:r w:rsidRPr="005E5BB1">
                              <w:rPr>
                                <w:rFonts w:cs="Arial"/>
                                <w:b/>
                                <w:color w:val="FFFFFF" w:themeColor="background1"/>
                                <w:sz w:val="36"/>
                                <w:lang w:val="en-GB"/>
                              </w:rPr>
                              <w:t>Individual Health Insurance</w:t>
                            </w:r>
                          </w:p>
                          <w:p w:rsidR="00F66253" w:rsidRPr="000D0FD7" w:rsidRDefault="000D0FD7" w:rsidP="004407F1">
                            <w:pPr>
                              <w:jc w:val="both"/>
                              <w:rPr>
                                <w:rFonts w:cs="Arial"/>
                                <w:color w:val="FFFFFF" w:themeColor="background1"/>
                                <w:lang w:val="en-GB"/>
                              </w:rPr>
                            </w:pPr>
                            <w:r w:rsidRPr="000D0FD7">
                              <w:rPr>
                                <w:rFonts w:cs="Arial"/>
                                <w:color w:val="FFFFFF" w:themeColor="background1"/>
                                <w:lang w:val="en-GB"/>
                              </w:rPr>
                              <w:t>A document containing information on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lang w:val="en-GB"/>
                              </w:rPr>
                              <w:t xml:space="preserve"> an insurance product</w:t>
                            </w:r>
                          </w:p>
                        </w:tc>
                      </w:tr>
                      <w:tr w:rsidR="00F2544D" w:rsidRPr="00985329" w:rsidTr="004407F1">
                        <w:trPr>
                          <w:trHeight w:val="602"/>
                        </w:trPr>
                        <w:tc>
                          <w:tcPr>
                            <w:tcW w:w="4606" w:type="dxa"/>
                            <w:shd w:val="clear" w:color="auto" w:fill="auto"/>
                          </w:tcPr>
                          <w:p w:rsidR="00F66253" w:rsidRPr="00091B1D" w:rsidRDefault="00F66253" w:rsidP="004407F1">
                            <w:pPr>
                              <w:jc w:val="both"/>
                              <w:rPr>
                                <w:rFonts w:cs="Arial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256533" w:rsidRDefault="00AA75F3" w:rsidP="00754ADC">
                            <w:pPr>
                              <w:rPr>
                                <w:rFonts w:cs="Arial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18"/>
                              </w:rPr>
                              <w:t>Company</w:t>
                            </w:r>
                            <w:r w:rsidR="00F66253" w:rsidRPr="00091B1D">
                              <w:rPr>
                                <w:rFonts w:cs="Arial"/>
                                <w:color w:val="FFFFFF" w:themeColor="background1"/>
                                <w:sz w:val="18"/>
                              </w:rPr>
                              <w:t>:</w:t>
                            </w:r>
                          </w:p>
                          <w:p w:rsidR="00754ADC" w:rsidRPr="00F2544D" w:rsidRDefault="00754ADC" w:rsidP="00754ADC">
                            <w:pPr>
                              <w:rPr>
                                <w:rFonts w:cs="Arial"/>
                                <w:color w:val="FFFFFF" w:themeColor="background1"/>
                                <w:sz w:val="18"/>
                                <w:lang w:val="en-GB"/>
                              </w:rPr>
                            </w:pPr>
                            <w:r w:rsidRPr="00F2544D">
                              <w:rPr>
                                <w:rFonts w:cs="Arial"/>
                                <w:color w:val="FFFFFF" w:themeColor="background1"/>
                                <w:sz w:val="18"/>
                                <w:lang w:val="en-GB"/>
                              </w:rPr>
                              <w:t>Towarzystwo Ubezpi</w:t>
                            </w:r>
                            <w:r w:rsidR="00256533" w:rsidRPr="00F2544D">
                              <w:rPr>
                                <w:rFonts w:cs="Arial"/>
                                <w:color w:val="FFFFFF" w:themeColor="background1"/>
                                <w:sz w:val="18"/>
                                <w:lang w:val="en-GB"/>
                              </w:rPr>
                              <w:t>eczeń ZDROWIE S.A.</w:t>
                            </w:r>
                            <w:r w:rsidR="00AA75F3" w:rsidRPr="00F2544D">
                              <w:rPr>
                                <w:rFonts w:cs="Arial"/>
                                <w:color w:val="FFFFFF" w:themeColor="background1"/>
                                <w:sz w:val="18"/>
                                <w:lang w:val="en-GB"/>
                              </w:rPr>
                              <w:t xml:space="preserve"> with registered office in Gdynia</w:t>
                            </w:r>
                            <w:r w:rsidRPr="00F2544D">
                              <w:rPr>
                                <w:rFonts w:cs="Arial"/>
                                <w:color w:val="FFFFFF" w:themeColor="background1"/>
                                <w:sz w:val="18"/>
                                <w:lang w:val="en-GB"/>
                              </w:rPr>
                              <w:t xml:space="preserve">, </w:t>
                            </w:r>
                            <w:r w:rsidR="00AA75F3" w:rsidRPr="00F2544D">
                              <w:rPr>
                                <w:rFonts w:cs="Arial"/>
                                <w:color w:val="FFFFFF" w:themeColor="background1"/>
                                <w:sz w:val="18"/>
                                <w:lang w:val="en-GB"/>
                              </w:rPr>
                              <w:t xml:space="preserve">permit of 28th June, 2010, scope of </w:t>
                            </w:r>
                            <w:r w:rsidR="00F2544D" w:rsidRPr="00F2544D">
                              <w:rPr>
                                <w:rFonts w:cs="Arial"/>
                                <w:color w:val="FFFFFF" w:themeColor="background1"/>
                                <w:sz w:val="18"/>
                                <w:lang w:val="en-GB"/>
                              </w:rPr>
                              <w:t xml:space="preserve">business </w:t>
                            </w:r>
                            <w:r w:rsidR="00AA75F3" w:rsidRPr="00F2544D">
                              <w:rPr>
                                <w:rFonts w:cs="Arial"/>
                                <w:color w:val="FFFFFF" w:themeColor="background1"/>
                                <w:sz w:val="18"/>
                                <w:lang w:val="en-GB"/>
                              </w:rPr>
                              <w:t>activity</w:t>
                            </w:r>
                            <w:r w:rsidRPr="00F2544D">
                              <w:rPr>
                                <w:rFonts w:cs="Arial"/>
                                <w:color w:val="FFFFFF" w:themeColor="background1"/>
                                <w:sz w:val="18"/>
                                <w:lang w:val="en-GB"/>
                              </w:rPr>
                              <w:t xml:space="preserve"> – </w:t>
                            </w:r>
                            <w:r w:rsidR="00F2544D" w:rsidRPr="00F2544D">
                              <w:rPr>
                                <w:rFonts w:cs="Arial"/>
                                <w:color w:val="FFFFFF" w:themeColor="background1"/>
                                <w:sz w:val="18"/>
                                <w:lang w:val="en-GB"/>
                              </w:rPr>
                              <w:t xml:space="preserve">insurance against sickness (group 2) in </w:t>
                            </w:r>
                            <w:r w:rsidR="00F2544D">
                              <w:rPr>
                                <w:rFonts w:cs="Arial"/>
                                <w:color w:val="FFFFFF" w:themeColor="background1"/>
                                <w:sz w:val="18"/>
                                <w:lang w:val="en-GB"/>
                              </w:rPr>
                              <w:t>personal and property insurance section</w:t>
                            </w:r>
                            <w:r w:rsidRPr="00F2544D">
                              <w:rPr>
                                <w:rFonts w:cs="Arial"/>
                                <w:color w:val="FFFFFF" w:themeColor="background1"/>
                                <w:sz w:val="18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606" w:type="dxa"/>
                            <w:shd w:val="clear" w:color="auto" w:fill="auto"/>
                          </w:tcPr>
                          <w:p w:rsidR="00F66253" w:rsidRPr="00F2544D" w:rsidRDefault="00F66253" w:rsidP="004407F1">
                            <w:pPr>
                              <w:jc w:val="both"/>
                              <w:rPr>
                                <w:rFonts w:cs="Arial"/>
                                <w:color w:val="FFFFFF" w:themeColor="background1"/>
                                <w:sz w:val="18"/>
                                <w:lang w:val="en-GB"/>
                              </w:rPr>
                            </w:pPr>
                          </w:p>
                          <w:p w:rsidR="00F663A5" w:rsidRPr="00F663A5" w:rsidRDefault="00AA75F3" w:rsidP="008727EF">
                            <w:pPr>
                              <w:jc w:val="right"/>
                              <w:rPr>
                                <w:rFonts w:cs="Arial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  <w:r w:rsidRPr="00F663A5">
                              <w:rPr>
                                <w:rFonts w:cs="Arial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  <w:t>Product</w:t>
                            </w:r>
                            <w:r w:rsidR="00F66253" w:rsidRPr="00F663A5">
                              <w:rPr>
                                <w:rFonts w:cs="Arial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  <w:t xml:space="preserve">: </w:t>
                            </w:r>
                            <w:r w:rsidR="00F663A5">
                              <w:rPr>
                                <w:rFonts w:cs="Arial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  <w:t>“</w:t>
                            </w:r>
                            <w:r w:rsidR="00605B12" w:rsidRPr="00F663A5">
                              <w:rPr>
                                <w:rFonts w:cs="Arial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  <w:t>POLISA ZDROWIE</w:t>
                            </w:r>
                            <w:r w:rsidR="00F663A5" w:rsidRPr="00F663A5">
                              <w:rPr>
                                <w:rFonts w:cs="Arial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  <w:t xml:space="preserve">” </w:t>
                            </w:r>
                          </w:p>
                          <w:p w:rsidR="00F66253" w:rsidRPr="00F663A5" w:rsidRDefault="00F663A5" w:rsidP="008727EF">
                            <w:pPr>
                              <w:jc w:val="right"/>
                              <w:rPr>
                                <w:rFonts w:cs="Arial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F663A5">
                              <w:rPr>
                                <w:rFonts w:cs="Arial"/>
                                <w:b/>
                                <w:color w:val="FFFFFF" w:themeColor="background1"/>
                                <w:sz w:val="20"/>
                              </w:rPr>
                              <w:t>(“HEALTH PO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0"/>
                              </w:rPr>
                              <w:t>LICY”)</w:t>
                            </w:r>
                          </w:p>
                          <w:p w:rsidR="00F66253" w:rsidRPr="00091B1D" w:rsidRDefault="00F66253" w:rsidP="004407F1">
                            <w:pPr>
                              <w:jc w:val="both"/>
                              <w:rPr>
                                <w:rFonts w:cs="Arial"/>
                                <w:color w:val="FFFFFF" w:themeColor="background1"/>
                                <w:sz w:val="18"/>
                              </w:rPr>
                            </w:pPr>
                          </w:p>
                        </w:tc>
                      </w:tr>
                      <w:tr w:rsidR="00F2544D" w:rsidRPr="00985329" w:rsidTr="004407F1">
                        <w:trPr>
                          <w:trHeight w:val="602"/>
                        </w:trPr>
                        <w:tc>
                          <w:tcPr>
                            <w:tcW w:w="4606" w:type="dxa"/>
                            <w:shd w:val="clear" w:color="auto" w:fill="auto"/>
                          </w:tcPr>
                          <w:p w:rsidR="00F66253" w:rsidRDefault="00F66253" w:rsidP="00C643E8">
                            <w:pPr>
                              <w:jc w:val="right"/>
                              <w:rPr>
                                <w:rFonts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06" w:type="dxa"/>
                            <w:shd w:val="clear" w:color="auto" w:fill="auto"/>
                          </w:tcPr>
                          <w:p w:rsidR="00F66253" w:rsidRDefault="00F66253" w:rsidP="004407F1">
                            <w:pPr>
                              <w:jc w:val="both"/>
                              <w:rPr>
                                <w:rFonts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66253" w:rsidRDefault="00F66253" w:rsidP="00F66253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2544D" w:rsidRPr="00F2544D" w:rsidRDefault="00F2544D" w:rsidP="00F66253">
      <w:pPr>
        <w:spacing w:after="0" w:line="240" w:lineRule="auto"/>
        <w:jc w:val="both"/>
        <w:rPr>
          <w:rFonts w:cs="Humnst777LtCnEU-Normal"/>
          <w:sz w:val="14"/>
          <w:szCs w:val="16"/>
          <w:lang w:val="en-GB"/>
          <w14:stylisticSets>
            <w14:styleSet w14:id="1"/>
          </w14:stylisticSets>
        </w:rPr>
      </w:pPr>
      <w:r w:rsidRPr="00F2544D">
        <w:rPr>
          <w:rFonts w:cs="Humnst777LtCnEU-Normal"/>
          <w:sz w:val="14"/>
          <w:szCs w:val="16"/>
          <w:lang w:val="en-GB"/>
          <w14:stylisticSets>
            <w14:styleSet w14:id="1"/>
          </w14:stylisticSets>
        </w:rPr>
        <w:t>Complete information provided prior agreement c</w:t>
      </w:r>
      <w:r>
        <w:rPr>
          <w:rFonts w:cs="Humnst777LtCnEU-Normal"/>
          <w:sz w:val="14"/>
          <w:szCs w:val="16"/>
          <w:lang w:val="en-GB"/>
          <w14:stylisticSets>
            <w14:styleSet w14:id="1"/>
          </w14:stylisticSets>
        </w:rPr>
        <w:t xml:space="preserve">onclusion and contractual information relating to this product are included in the General Terms and Conditions of </w:t>
      </w:r>
      <w:r>
        <w:rPr>
          <w:rFonts w:cs="Humnst777LtCnEU-Normal"/>
          <w:sz w:val="14"/>
          <w:szCs w:val="16"/>
          <w:lang w:val="en-GB"/>
          <w14:stylisticSets>
            <w14:styleSet w14:id="1"/>
          </w14:stylisticSets>
        </w:rPr>
        <w:t xml:space="preserve">POLISA ZDROWIE </w:t>
      </w:r>
      <w:r>
        <w:rPr>
          <w:rFonts w:cs="Humnst777LtCnEU-Normal"/>
          <w:sz w:val="14"/>
          <w:szCs w:val="16"/>
          <w:lang w:val="en-GB"/>
          <w14:stylisticSets>
            <w14:styleSet w14:id="1"/>
          </w14:stylisticSets>
        </w:rPr>
        <w:t xml:space="preserve">Individual Insurance (OWU/05/2018) </w:t>
      </w:r>
      <w:r w:rsidR="00605B12">
        <w:rPr>
          <w:rFonts w:cs="Humnst777LtCnEU-Normal"/>
          <w:sz w:val="14"/>
          <w:szCs w:val="16"/>
          <w:lang w:val="en-GB"/>
          <w14:stylisticSets>
            <w14:styleSet w14:id="1"/>
          </w14:stylisticSets>
        </w:rPr>
        <w:t>adopted by resolution of Towarzystwo Ubezpieczeń ZDROWIE S.A. Management Board on 25</w:t>
      </w:r>
      <w:r w:rsidR="00605B12" w:rsidRPr="00605B12">
        <w:rPr>
          <w:rFonts w:cs="Humnst777LtCnEU-Normal"/>
          <w:sz w:val="14"/>
          <w:szCs w:val="16"/>
          <w:vertAlign w:val="superscript"/>
          <w:lang w:val="en-GB"/>
          <w14:stylisticSets>
            <w14:styleSet w14:id="1"/>
          </w14:stylisticSets>
        </w:rPr>
        <w:t>th</w:t>
      </w:r>
      <w:r w:rsidR="00605B12">
        <w:rPr>
          <w:rFonts w:cs="Humnst777LtCnEU-Normal"/>
          <w:sz w:val="14"/>
          <w:szCs w:val="16"/>
          <w:lang w:val="en-GB"/>
          <w14:stylisticSets>
            <w14:styleSet w14:id="1"/>
          </w14:stylisticSets>
        </w:rPr>
        <w:t xml:space="preserve"> April, 2018 and in the Catalogue of Benefits (KS/04/2018) adopted by resolution </w:t>
      </w:r>
      <w:r w:rsidR="00605B12">
        <w:rPr>
          <w:rFonts w:cs="Humnst777LtCnEU-Normal"/>
          <w:sz w:val="14"/>
          <w:szCs w:val="16"/>
          <w:lang w:val="en-GB"/>
          <w14:stylisticSets>
            <w14:styleSet w14:id="1"/>
          </w14:stylisticSets>
        </w:rPr>
        <w:t>of Towarzystwo Ubezpieczeń ZDROWIE S.A. Management Board on</w:t>
      </w:r>
      <w:r w:rsidR="00605B12">
        <w:rPr>
          <w:rFonts w:cs="Humnst777LtCnEU-Normal"/>
          <w:sz w:val="14"/>
          <w:szCs w:val="16"/>
          <w:lang w:val="en-GB"/>
          <w14:stylisticSets>
            <w14:styleSet w14:id="1"/>
          </w14:stylisticSets>
        </w:rPr>
        <w:t xml:space="preserve"> 27</w:t>
      </w:r>
      <w:r w:rsidR="00605B12" w:rsidRPr="00605B12">
        <w:rPr>
          <w:rFonts w:cs="Humnst777LtCnEU-Normal"/>
          <w:sz w:val="14"/>
          <w:szCs w:val="16"/>
          <w:vertAlign w:val="superscript"/>
          <w:lang w:val="en-GB"/>
          <w14:stylisticSets>
            <w14:styleSet w14:id="1"/>
          </w14:stylisticSets>
        </w:rPr>
        <w:t>th</w:t>
      </w:r>
      <w:r w:rsidR="00605B12">
        <w:rPr>
          <w:rFonts w:cs="Humnst777LtCnEU-Normal"/>
          <w:sz w:val="14"/>
          <w:szCs w:val="16"/>
          <w:lang w:val="en-GB"/>
          <w14:stylisticSets>
            <w14:styleSet w14:id="1"/>
          </w14:stylisticSets>
        </w:rPr>
        <w:t xml:space="preserve"> February, 2018.</w:t>
      </w:r>
    </w:p>
    <w:p w:rsidR="00BA4BEB" w:rsidRPr="00754ADC" w:rsidRDefault="00BA4BEB" w:rsidP="00F66253">
      <w:pPr>
        <w:spacing w:after="0" w:line="240" w:lineRule="auto"/>
        <w:jc w:val="both"/>
        <w:rPr>
          <w:rFonts w:cs="Arial"/>
          <w:sz w:val="14"/>
        </w:rPr>
      </w:pPr>
    </w:p>
    <w:p w:rsidR="00F66253" w:rsidRPr="00605B12" w:rsidRDefault="00605B12" w:rsidP="00F66253">
      <w:pPr>
        <w:spacing w:after="0" w:line="240" w:lineRule="auto"/>
        <w:jc w:val="both"/>
        <w:rPr>
          <w:rFonts w:cs="Arial"/>
          <w:b/>
          <w:color w:val="1F497D" w:themeColor="text2"/>
          <w:sz w:val="18"/>
          <w:lang w:val="en-GB"/>
        </w:rPr>
      </w:pPr>
      <w:r w:rsidRPr="00605B12">
        <w:rPr>
          <w:rFonts w:cs="Arial"/>
          <w:b/>
          <w:color w:val="1F497D" w:themeColor="text2"/>
          <w:sz w:val="18"/>
          <w:lang w:val="en-GB"/>
        </w:rPr>
        <w:t>What type of insurance is it</w:t>
      </w:r>
      <w:r w:rsidR="00F66253" w:rsidRPr="00605B12">
        <w:rPr>
          <w:rFonts w:cs="Arial"/>
          <w:b/>
          <w:color w:val="1F497D" w:themeColor="text2"/>
          <w:sz w:val="18"/>
          <w:lang w:val="en-GB"/>
        </w:rPr>
        <w:t>?</w:t>
      </w:r>
    </w:p>
    <w:p w:rsidR="00605B12" w:rsidRPr="00605B12" w:rsidRDefault="00605B12" w:rsidP="0024764B">
      <w:pPr>
        <w:spacing w:after="0" w:line="240" w:lineRule="auto"/>
        <w:jc w:val="both"/>
        <w:rPr>
          <w:rFonts w:cs="Humnst777LtCnEU-Normal"/>
          <w:sz w:val="14"/>
          <w:szCs w:val="16"/>
          <w:lang w:val="en-GB"/>
        </w:rPr>
      </w:pPr>
      <w:r w:rsidRPr="00605B12">
        <w:rPr>
          <w:rFonts w:cs="Humnst777LtCnEU-Normal"/>
          <w:sz w:val="14"/>
          <w:szCs w:val="16"/>
          <w:lang w:val="en-GB"/>
        </w:rPr>
        <w:t xml:space="preserve">Individual health insurance (section II </w:t>
      </w:r>
      <w:r>
        <w:rPr>
          <w:rFonts w:cs="Humnst777LtCnEU-Normal"/>
          <w:sz w:val="14"/>
          <w:szCs w:val="16"/>
          <w:lang w:val="en-GB"/>
        </w:rPr>
        <w:t xml:space="preserve">group 2 from </w:t>
      </w:r>
      <w:r w:rsidR="0006058F">
        <w:rPr>
          <w:rFonts w:cs="Humnst777LtCnEU-Normal"/>
          <w:sz w:val="14"/>
          <w:szCs w:val="16"/>
          <w:lang w:val="en-GB"/>
        </w:rPr>
        <w:t>the Annex</w:t>
      </w:r>
      <w:r>
        <w:rPr>
          <w:rFonts w:cs="Humnst777LtCnEU-Normal"/>
          <w:sz w:val="14"/>
          <w:szCs w:val="16"/>
          <w:lang w:val="en-GB"/>
        </w:rPr>
        <w:t xml:space="preserve"> to Act of 11</w:t>
      </w:r>
      <w:r w:rsidRPr="00605B12">
        <w:rPr>
          <w:rFonts w:cs="Humnst777LtCnEU-Normal"/>
          <w:sz w:val="14"/>
          <w:szCs w:val="16"/>
          <w:vertAlign w:val="superscript"/>
          <w:lang w:val="en-GB"/>
        </w:rPr>
        <w:t>th</w:t>
      </w:r>
      <w:r>
        <w:rPr>
          <w:rFonts w:cs="Humnst777LtCnEU-Normal"/>
          <w:sz w:val="14"/>
          <w:szCs w:val="16"/>
          <w:lang w:val="en-GB"/>
        </w:rPr>
        <w:t xml:space="preserve"> September, 2015, on insurance and reinsurance activities) POLISA </w:t>
      </w:r>
      <w:r w:rsidR="00F663A5">
        <w:rPr>
          <w:rFonts w:cs="Humnst777LtCnEU-Normal"/>
          <w:sz w:val="14"/>
          <w:szCs w:val="16"/>
          <w:lang w:val="en-GB"/>
        </w:rPr>
        <w:t xml:space="preserve"> ZDROWIE </w:t>
      </w:r>
      <w:r w:rsidR="00301438">
        <w:rPr>
          <w:rFonts w:cs="Humnst777LtCnEU-Normal"/>
          <w:sz w:val="14"/>
          <w:szCs w:val="16"/>
          <w:lang w:val="en-GB"/>
        </w:rPr>
        <w:t xml:space="preserve">enables </w:t>
      </w:r>
      <w:r w:rsidR="005E5BB1">
        <w:rPr>
          <w:rFonts w:cs="Humnst777LtCnEU-Normal"/>
          <w:sz w:val="14"/>
          <w:szCs w:val="16"/>
          <w:lang w:val="en-GB"/>
        </w:rPr>
        <w:t>to avail</w:t>
      </w:r>
      <w:r w:rsidR="00301438">
        <w:rPr>
          <w:rFonts w:cs="Humnst777LtCnEU-Normal"/>
          <w:sz w:val="14"/>
          <w:szCs w:val="16"/>
          <w:lang w:val="en-GB"/>
        </w:rPr>
        <w:t xml:space="preserve"> </w:t>
      </w:r>
      <w:r w:rsidR="005E5BB1">
        <w:rPr>
          <w:rFonts w:cs="Humnst777LtCnEU-Normal"/>
          <w:sz w:val="14"/>
          <w:szCs w:val="16"/>
          <w:lang w:val="en-GB"/>
        </w:rPr>
        <w:t>b</w:t>
      </w:r>
      <w:r w:rsidR="00301438">
        <w:rPr>
          <w:rFonts w:cs="Humnst777LtCnEU-Normal"/>
          <w:sz w:val="14"/>
          <w:szCs w:val="16"/>
          <w:lang w:val="en-GB"/>
        </w:rPr>
        <w:t xml:space="preserve">enefits in medical facilities on the territory of Republic of Poland. </w:t>
      </w:r>
    </w:p>
    <w:p w:rsidR="00754ADC" w:rsidRPr="005E5BB1" w:rsidRDefault="00754ADC" w:rsidP="00F66253">
      <w:pPr>
        <w:spacing w:after="0" w:line="240" w:lineRule="auto"/>
        <w:jc w:val="both"/>
        <w:rPr>
          <w:rFonts w:cs="Arial"/>
          <w:sz w:val="14"/>
          <w:lang w:val="en-GB"/>
        </w:rPr>
      </w:pPr>
    </w:p>
    <w:tbl>
      <w:tblPr>
        <w:tblStyle w:val="Tabela-Siatka"/>
        <w:tblW w:w="9354" w:type="dxa"/>
        <w:tblLook w:val="04A0" w:firstRow="1" w:lastRow="0" w:firstColumn="1" w:lastColumn="0" w:noHBand="0" w:noVBand="1"/>
      </w:tblPr>
      <w:tblGrid>
        <w:gridCol w:w="4565"/>
        <w:gridCol w:w="223"/>
        <w:gridCol w:w="4566"/>
      </w:tblGrid>
      <w:tr w:rsidR="00F66253" w:rsidTr="00DC161E">
        <w:trPr>
          <w:trHeight w:val="1913"/>
        </w:trPr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66253" w:rsidRPr="0006058F" w:rsidRDefault="00F66253" w:rsidP="00C87AA3">
            <w:pPr>
              <w:jc w:val="both"/>
              <w:rPr>
                <w:rFonts w:cs="Arial"/>
                <w:b/>
                <w:color w:val="1F497D" w:themeColor="text2"/>
                <w:sz w:val="18"/>
                <w:lang w:val="en-GB"/>
              </w:rPr>
            </w:pPr>
            <w:r w:rsidRPr="004C1949">
              <w:rPr>
                <w:rFonts w:ascii="ArialMT" w:hAnsi="ArialMT" w:cs="ArialMT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F0E4C6B" wp14:editId="0296750C">
                  <wp:extent cx="230588" cy="236353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536" cy="24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058F" w:rsidRPr="0006058F">
              <w:rPr>
                <w:rFonts w:cs="Arial"/>
                <w:b/>
                <w:color w:val="1F497D" w:themeColor="text2"/>
                <w:sz w:val="18"/>
                <w:lang w:val="en-GB"/>
              </w:rPr>
              <w:t>What is the subject of insurance</w:t>
            </w:r>
            <w:r w:rsidRPr="0006058F">
              <w:rPr>
                <w:rFonts w:cs="Arial"/>
                <w:b/>
                <w:color w:val="1F497D" w:themeColor="text2"/>
                <w:sz w:val="18"/>
                <w:lang w:val="en-GB"/>
              </w:rPr>
              <w:t>?</w:t>
            </w:r>
          </w:p>
          <w:p w:rsidR="0024764B" w:rsidRPr="0024764B" w:rsidRDefault="0006058F" w:rsidP="003040F1">
            <w:pPr>
              <w:pStyle w:val="Akapitzlist"/>
              <w:numPr>
                <w:ilvl w:val="0"/>
                <w:numId w:val="4"/>
              </w:numPr>
              <w:ind w:left="142" w:hanging="142"/>
              <w:jc w:val="both"/>
              <w:rPr>
                <w:rFonts w:cs="Humnst777LtCnEU-Normal"/>
                <w:sz w:val="14"/>
                <w:szCs w:val="16"/>
                <w14:stylisticSets>
                  <w14:styleSet w14:id="1"/>
                </w14:stylisticSets>
              </w:rPr>
            </w:pPr>
            <w:r w:rsidRPr="0006058F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The subject of the insurance is the Insured Person’s health. </w:t>
            </w:r>
          </w:p>
          <w:p w:rsidR="0024764B" w:rsidRPr="000D0FD7" w:rsidRDefault="0006058F" w:rsidP="003040F1">
            <w:pPr>
              <w:pStyle w:val="Akapitzlist"/>
              <w:numPr>
                <w:ilvl w:val="0"/>
                <w:numId w:val="4"/>
              </w:numPr>
              <w:ind w:left="142" w:hanging="142"/>
              <w:jc w:val="both"/>
              <w:rPr>
                <w:rFonts w:cs="Humnst777LtCnEU-Normal"/>
                <w:sz w:val="14"/>
                <w:szCs w:val="16"/>
                <w14:stylisticSets>
                  <w14:styleSet w14:id="1"/>
                </w14:stylisticSets>
              </w:rPr>
            </w:pPr>
            <w:r w:rsidRPr="0006058F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The Insured Person is entitled to medical services indicated in the Catalogue of Benefits for the chosen insurance variant. </w:t>
            </w:r>
          </w:p>
          <w:p w:rsidR="0024764B" w:rsidRPr="000D0FD7" w:rsidRDefault="0006058F" w:rsidP="003040F1">
            <w:pPr>
              <w:pStyle w:val="Akapitzlist"/>
              <w:numPr>
                <w:ilvl w:val="0"/>
                <w:numId w:val="4"/>
              </w:numPr>
              <w:ind w:left="142" w:hanging="142"/>
              <w:jc w:val="both"/>
              <w:rPr>
                <w:rFonts w:cs="Humnst777LtCnEU-Normal"/>
                <w:sz w:val="14"/>
                <w:szCs w:val="16"/>
                <w14:stylisticSets>
                  <w14:styleSet w14:id="1"/>
                </w14:stylisticSets>
              </w:rPr>
            </w:pPr>
            <w:r w:rsidRPr="00B7238C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The services are provided </w:t>
            </w:r>
            <w:r w:rsidR="00B7238C" w:rsidRPr="00B7238C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based on medical indications only. </w:t>
            </w:r>
          </w:p>
          <w:p w:rsidR="0024764B" w:rsidRPr="003040F1" w:rsidRDefault="00B7238C" w:rsidP="003040F1">
            <w:pPr>
              <w:pStyle w:val="Akapitzlist"/>
              <w:numPr>
                <w:ilvl w:val="0"/>
                <w:numId w:val="4"/>
              </w:numPr>
              <w:ind w:left="142" w:hanging="142"/>
              <w:jc w:val="both"/>
              <w:rPr>
                <w:rFonts w:cs="Humnst777LtCnEU-Normal"/>
                <w:sz w:val="14"/>
                <w:szCs w:val="16"/>
                <w:lang w:val="en-US"/>
                <w14:stylisticSets>
                  <w14:styleSet w14:id="1"/>
                </w14:stylisticSets>
              </w:rPr>
            </w:pPr>
            <w:r>
              <w:rPr>
                <w:rFonts w:cs="Humnst777LtCnEU-Normal"/>
                <w:sz w:val="14"/>
                <w:szCs w:val="16"/>
                <w:lang w:val="en-US"/>
                <w14:stylisticSets>
                  <w14:styleSet w14:id="1"/>
                </w14:stylisticSets>
              </w:rPr>
              <w:t>The Insured Person may</w:t>
            </w:r>
            <w:r w:rsidR="0024764B" w:rsidRPr="003040F1">
              <w:rPr>
                <w:rFonts w:cs="Humnst777LtCnEU-Normal"/>
                <w:sz w:val="14"/>
                <w:szCs w:val="16"/>
                <w:lang w:val="en-US"/>
                <w14:stylisticSets>
                  <w14:styleSet w14:id="1"/>
                </w14:stylisticSets>
              </w:rPr>
              <w:t>:</w:t>
            </w:r>
          </w:p>
          <w:p w:rsidR="00B7238C" w:rsidRPr="00B7238C" w:rsidRDefault="009F4F7F" w:rsidP="0088077C">
            <w:pPr>
              <w:pStyle w:val="Akapitzlist"/>
              <w:numPr>
                <w:ilvl w:val="0"/>
                <w:numId w:val="4"/>
              </w:numPr>
              <w:ind w:left="567" w:hanging="283"/>
              <w:jc w:val="both"/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</w:pPr>
            <w:r w:rsidRPr="00CD749A">
              <w:rPr>
                <w:rFonts w:cs="Humnst777LtCnEU-Normal"/>
                <w:noProof/>
                <w:sz w:val="14"/>
                <w:szCs w:val="16"/>
                <w:lang w:eastAsia="pl-PL"/>
                <w14:stylisticSets>
                  <w14:styleSet w14:id="1"/>
                </w14:stylisticSets>
              </w:rPr>
              <w:drawing>
                <wp:anchor distT="0" distB="0" distL="114300" distR="114300" simplePos="0" relativeHeight="251660288" behindDoc="0" locked="0" layoutInCell="1" allowOverlap="1" wp14:anchorId="61150E78" wp14:editId="7FD90BE0">
                  <wp:simplePos x="0" y="0"/>
                  <wp:positionH relativeFrom="column">
                    <wp:posOffset>1992630</wp:posOffset>
                  </wp:positionH>
                  <wp:positionV relativeFrom="paragraph">
                    <wp:posOffset>437994</wp:posOffset>
                  </wp:positionV>
                  <wp:extent cx="72118" cy="95250"/>
                  <wp:effectExtent l="0" t="0" r="4445" b="0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18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238C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>r</w:t>
            </w:r>
            <w:r w:rsidR="00B7238C" w:rsidRPr="00B7238C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equest for an appointment </w:t>
            </w:r>
            <w:r w:rsidR="00B7238C" w:rsidRPr="00B7238C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for a given service </w:t>
            </w:r>
            <w:r w:rsidR="00B7238C" w:rsidRPr="00B7238C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>to be made b</w:t>
            </w:r>
            <w:r w:rsidR="00B7238C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y </w:t>
            </w:r>
            <w:r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the </w:t>
            </w:r>
            <w:r w:rsidR="00B7238C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24h helpline, in which case </w:t>
            </w:r>
            <w:r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>the Insured Person</w:t>
            </w:r>
            <w:r w:rsidR="00B7238C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 do</w:t>
            </w:r>
            <w:r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>es</w:t>
            </w:r>
            <w:r w:rsidR="00B7238C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 not </w:t>
            </w:r>
            <w:r w:rsidR="00C80C5A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>incur</w:t>
            </w:r>
            <w:r w:rsidR="00B7238C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 any costs of the performed </w:t>
            </w:r>
            <w:r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examinations, consultations or treatment. A service may be availed in this way in a medical facility marked on the </w:t>
            </w:r>
            <w:r w:rsidRPr="009F4F7F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>www.tuzdrowie.pl</w:t>
            </w:r>
            <w:r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 website with an icon </w:t>
            </w:r>
          </w:p>
          <w:p w:rsidR="009F4F7F" w:rsidRPr="009F4F7F" w:rsidRDefault="003252FF" w:rsidP="0088077C">
            <w:pPr>
              <w:pStyle w:val="Akapitzlist"/>
              <w:numPr>
                <w:ilvl w:val="0"/>
                <w:numId w:val="4"/>
              </w:numPr>
              <w:ind w:left="567" w:hanging="283"/>
              <w:jc w:val="both"/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</w:pPr>
            <w:r w:rsidRPr="00CD749A">
              <w:rPr>
                <w:rFonts w:cs="Humnst777LtCnEU-Normal"/>
                <w:noProof/>
                <w:sz w:val="14"/>
                <w:szCs w:val="16"/>
                <w:lang w:eastAsia="pl-PL"/>
                <w14:stylisticSets>
                  <w14:styleSet w14:id="1"/>
                </w14:stylisticSets>
              </w:rPr>
              <w:drawing>
                <wp:anchor distT="0" distB="0" distL="114300" distR="114300" simplePos="0" relativeHeight="251661312" behindDoc="0" locked="0" layoutInCell="1" allowOverlap="1" wp14:anchorId="44A99200" wp14:editId="3852ED22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103505</wp:posOffset>
                  </wp:positionV>
                  <wp:extent cx="83276" cy="80963"/>
                  <wp:effectExtent l="0" t="0" r="0" b="0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76" cy="80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5BB1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>a</w:t>
            </w:r>
            <w:r w:rsidR="009F4F7F" w:rsidRPr="009F4F7F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vail a service </w:t>
            </w:r>
            <w:r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>arranged</w:t>
            </w:r>
            <w:r w:rsidR="009F4F7F" w:rsidRPr="009F4F7F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 d</w:t>
            </w:r>
            <w:r w:rsidR="009F4F7F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irectly in a facility marked on the website with an icon </w:t>
            </w:r>
            <w:r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   </w:t>
            </w:r>
            <w:r w:rsidR="009F4F7F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 , in such cases there may be a need to pay a small surcharge </w:t>
            </w:r>
            <w:r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>to the service. In those facilities you may avail services that were contracted by TU ZDROWIE</w:t>
            </w:r>
          </w:p>
          <w:p w:rsidR="0024764B" w:rsidRPr="003252FF" w:rsidRDefault="005E5BB1" w:rsidP="0088077C">
            <w:pPr>
              <w:pStyle w:val="Akapitzlist"/>
              <w:numPr>
                <w:ilvl w:val="0"/>
                <w:numId w:val="4"/>
              </w:numPr>
              <w:ind w:left="567" w:hanging="283"/>
              <w:jc w:val="both"/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</w:pPr>
            <w:r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>c</w:t>
            </w:r>
            <w:r w:rsidR="003252FF" w:rsidRPr="003252FF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>hoose any medical facility or medi</w:t>
            </w:r>
            <w:r w:rsidR="003252FF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cal practitioner, pay for the service, and </w:t>
            </w:r>
            <w:r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>afterwards</w:t>
            </w:r>
            <w:r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 </w:t>
            </w:r>
            <w:r w:rsidR="003252FF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apply to TU ZDROWIE for reimbursement of the costs </w:t>
            </w:r>
            <w:r w:rsidR="00C80C5A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>incurred</w:t>
            </w:r>
            <w:r w:rsidR="003252FF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. </w:t>
            </w:r>
            <w:r w:rsidR="00C80C5A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TU ZDROWIE will reimburse the </w:t>
            </w:r>
            <w:r w:rsidR="00D3764D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incurred </w:t>
            </w:r>
            <w:r w:rsidR="00C80C5A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 xml:space="preserve">costs up to the UPL (upper payment limit) indicated in the Catalogue of Benefits. The insured sum for </w:t>
            </w:r>
            <w:r w:rsidR="00D3764D">
              <w:rPr>
                <w:rFonts w:cs="Humnst777LtCnEU-Normal"/>
                <w:sz w:val="14"/>
                <w:szCs w:val="16"/>
                <w:lang w:val="en-GB"/>
                <w14:stylisticSets>
                  <w14:styleSet w14:id="1"/>
                </w14:stylisticSets>
              </w:rPr>
              <w:t>such benefits is 100 000 PLN.</w:t>
            </w:r>
          </w:p>
          <w:p w:rsidR="00F66253" w:rsidRPr="0014604E" w:rsidRDefault="00F66253" w:rsidP="00D3764D">
            <w:pPr>
              <w:pStyle w:val="Akapitzlist"/>
              <w:ind w:left="567"/>
              <w:jc w:val="both"/>
              <w:rPr>
                <w:rFonts w:cs="Humnst777LtCnEU-Normal"/>
                <w:sz w:val="14"/>
                <w:szCs w:val="16"/>
              </w:rPr>
            </w:pPr>
          </w:p>
        </w:tc>
        <w:tc>
          <w:tcPr>
            <w:tcW w:w="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6253" w:rsidRDefault="00F66253" w:rsidP="00C87AA3">
            <w:pPr>
              <w:ind w:right="-108"/>
              <w:jc w:val="both"/>
              <w:rPr>
                <w:rFonts w:cs="Arial"/>
                <w:sz w:val="14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66253" w:rsidRPr="00D3764D" w:rsidRDefault="00F66253" w:rsidP="00C87AA3">
            <w:pPr>
              <w:jc w:val="both"/>
              <w:rPr>
                <w:rFonts w:cs="Arial"/>
                <w:b/>
                <w:color w:val="1F497D" w:themeColor="text2"/>
                <w:sz w:val="18"/>
                <w:lang w:val="en-GB"/>
              </w:rPr>
            </w:pPr>
            <w:r w:rsidRPr="00F971BA">
              <w:rPr>
                <w:rFonts w:ascii="ArialMT" w:hAnsi="ArialMT" w:cs="ArialMT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605FF0BD" wp14:editId="5BA37620">
                  <wp:extent cx="206734" cy="224454"/>
                  <wp:effectExtent l="0" t="0" r="3175" b="444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52" cy="233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764D" w:rsidRPr="00D3764D">
              <w:rPr>
                <w:rFonts w:cs="Arial"/>
                <w:b/>
                <w:color w:val="1F497D" w:themeColor="text2"/>
                <w:sz w:val="18"/>
                <w:lang w:val="en-GB"/>
              </w:rPr>
              <w:t xml:space="preserve"> What is </w:t>
            </w:r>
            <w:r w:rsidR="00D3764D">
              <w:rPr>
                <w:rFonts w:cs="Arial"/>
                <w:b/>
                <w:color w:val="1F497D" w:themeColor="text2"/>
                <w:sz w:val="18"/>
                <w:lang w:val="en-GB"/>
              </w:rPr>
              <w:t>excluded from</w:t>
            </w:r>
            <w:r w:rsidR="00D3764D" w:rsidRPr="00D3764D">
              <w:rPr>
                <w:rFonts w:cs="Arial"/>
                <w:b/>
                <w:color w:val="1F497D" w:themeColor="text2"/>
                <w:sz w:val="18"/>
                <w:lang w:val="en-GB"/>
              </w:rPr>
              <w:t xml:space="preserve"> the insurance</w:t>
            </w:r>
            <w:r w:rsidR="00D3764D">
              <w:rPr>
                <w:rFonts w:cs="Arial"/>
                <w:b/>
                <w:color w:val="1F497D" w:themeColor="text2"/>
                <w:sz w:val="18"/>
                <w:lang w:val="en-GB"/>
              </w:rPr>
              <w:t xml:space="preserve"> cover</w:t>
            </w:r>
            <w:r w:rsidR="00D3764D" w:rsidRPr="00D3764D">
              <w:rPr>
                <w:rFonts w:cs="Arial"/>
                <w:b/>
                <w:color w:val="1F497D" w:themeColor="text2"/>
                <w:sz w:val="18"/>
                <w:lang w:val="en-GB"/>
              </w:rPr>
              <w:t xml:space="preserve">? </w:t>
            </w:r>
          </w:p>
          <w:p w:rsidR="00CB69BF" w:rsidRPr="00D3764D" w:rsidRDefault="00D3764D" w:rsidP="00D653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="Humnst777LtCnEU-Normal"/>
                <w:sz w:val="14"/>
                <w:szCs w:val="16"/>
              </w:rPr>
            </w:pPr>
            <w:r w:rsidRPr="00D3764D">
              <w:rPr>
                <w:rFonts w:cs="Humnst777LtCnEU-Normal"/>
                <w:sz w:val="14"/>
                <w:szCs w:val="16"/>
                <w:lang w:val="en-GB"/>
              </w:rPr>
              <w:t>Services not specified in the Catalogue of Benefits for the chosen varian</w:t>
            </w:r>
            <w:r>
              <w:rPr>
                <w:rFonts w:cs="Humnst777LtCnEU-Normal"/>
                <w:sz w:val="14"/>
                <w:szCs w:val="16"/>
                <w:lang w:val="en-GB"/>
              </w:rPr>
              <w:t xml:space="preserve">t. </w:t>
            </w:r>
          </w:p>
          <w:p w:rsidR="00CB69BF" w:rsidRPr="00D3764D" w:rsidRDefault="00D3764D" w:rsidP="00D653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 w:rsidRPr="00D3764D">
              <w:rPr>
                <w:rFonts w:cs="Humnst777LtCnEU-Normal"/>
                <w:sz w:val="14"/>
                <w:szCs w:val="16"/>
                <w:lang w:val="en-GB"/>
              </w:rPr>
              <w:t>Costs of medication prescribed or recommended by a medical practit</w:t>
            </w:r>
            <w:r w:rsidR="00D6536F">
              <w:rPr>
                <w:rFonts w:cs="Humnst777LtCnEU-Normal"/>
                <w:sz w:val="14"/>
                <w:szCs w:val="16"/>
                <w:lang w:val="en-GB"/>
              </w:rPr>
              <w:t>i</w:t>
            </w:r>
            <w:r w:rsidRPr="00D3764D">
              <w:rPr>
                <w:rFonts w:cs="Humnst777LtCnEU-Normal"/>
                <w:sz w:val="14"/>
                <w:szCs w:val="16"/>
                <w:lang w:val="en-GB"/>
              </w:rPr>
              <w:t>oner.</w:t>
            </w:r>
          </w:p>
          <w:p w:rsidR="00CB69BF" w:rsidRPr="00D6536F" w:rsidRDefault="00D6536F" w:rsidP="00D653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 w:rsidRPr="00D6536F">
              <w:rPr>
                <w:rFonts w:cs="Humnst777LtCnEU-Normal"/>
                <w:sz w:val="14"/>
                <w:szCs w:val="16"/>
                <w:lang w:val="en-GB"/>
              </w:rPr>
              <w:t xml:space="preserve">Costs of genetic tests. </w:t>
            </w:r>
          </w:p>
          <w:p w:rsidR="007C54C2" w:rsidRPr="00D6536F" w:rsidRDefault="00D6536F" w:rsidP="00D653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 w:rsidRPr="00D6536F">
              <w:rPr>
                <w:rFonts w:cs="Humnst777LtCnEU-Normal"/>
                <w:sz w:val="14"/>
                <w:szCs w:val="16"/>
                <w:lang w:val="en-GB"/>
              </w:rPr>
              <w:t xml:space="preserve">A positron emission tomography examination (PET) </w:t>
            </w:r>
          </w:p>
          <w:p w:rsidR="00D6536F" w:rsidRPr="00D6536F" w:rsidRDefault="00D6536F" w:rsidP="00D653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>
              <w:rPr>
                <w:rFonts w:cs="Humnst777LtCnEU-Normal"/>
                <w:sz w:val="14"/>
                <w:szCs w:val="16"/>
                <w:lang w:val="en-GB"/>
              </w:rPr>
              <w:t>M</w:t>
            </w:r>
            <w:r w:rsidRPr="00D6536F">
              <w:rPr>
                <w:rFonts w:cs="Humnst777LtCnEU-Normal"/>
                <w:sz w:val="14"/>
                <w:szCs w:val="16"/>
                <w:lang w:val="en-GB"/>
              </w:rPr>
              <w:t>andatory vaccinations according to the schedule of vaccinations (current message from the Chief Sanitary Inspector for a given year on the Program of Protective Vaccinations).</w:t>
            </w:r>
          </w:p>
          <w:p w:rsidR="00F66253" w:rsidRDefault="00D6536F" w:rsidP="00D653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D6536F">
              <w:rPr>
                <w:rFonts w:cs="Humnst777LtCnEU-Normal"/>
                <w:sz w:val="14"/>
                <w:szCs w:val="16"/>
                <w:lang w:val="en-GB"/>
              </w:rPr>
              <w:t>Costs of services performed abroad.</w:t>
            </w:r>
            <w:r>
              <w:rPr>
                <w:rFonts w:cs="Humnst777LtCnEU-Normal"/>
                <w:sz w:val="14"/>
                <w:szCs w:val="16"/>
                <w:lang w:val="en-GB"/>
              </w:rPr>
              <w:t xml:space="preserve"> </w:t>
            </w:r>
          </w:p>
        </w:tc>
      </w:tr>
      <w:tr w:rsidR="00F66253" w:rsidTr="00D342A0">
        <w:trPr>
          <w:trHeight w:val="92"/>
        </w:trPr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6253" w:rsidRPr="004C1949" w:rsidRDefault="00F66253" w:rsidP="00C87AA3">
            <w:pPr>
              <w:jc w:val="both"/>
              <w:rPr>
                <w:rFonts w:ascii="ArialMT" w:hAnsi="ArialMT" w:cs="ArialMT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6253" w:rsidRDefault="00F66253" w:rsidP="00C87AA3">
            <w:pPr>
              <w:jc w:val="both"/>
              <w:rPr>
                <w:rFonts w:cs="Arial"/>
                <w:sz w:val="14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6253" w:rsidRPr="00140CAE" w:rsidRDefault="00F66253" w:rsidP="00C87AA3">
            <w:pPr>
              <w:jc w:val="both"/>
              <w:rPr>
                <w:rFonts w:ascii="ArialMT" w:hAnsi="ArialMT" w:cs="ArialMT"/>
                <w:noProof/>
                <w:sz w:val="10"/>
                <w:szCs w:val="18"/>
                <w:lang w:eastAsia="pl-PL"/>
              </w:rPr>
            </w:pPr>
          </w:p>
        </w:tc>
      </w:tr>
      <w:tr w:rsidR="00F66253" w:rsidRPr="0056642B" w:rsidTr="00D342A0">
        <w:trPr>
          <w:trHeight w:val="2062"/>
        </w:trPr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66253" w:rsidRPr="004C1949" w:rsidRDefault="00F66253" w:rsidP="00C87AA3">
            <w:pPr>
              <w:jc w:val="both"/>
              <w:rPr>
                <w:rFonts w:ascii="ArialMT" w:hAnsi="ArialMT" w:cs="ArialMT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253" w:rsidRDefault="00F66253" w:rsidP="00C87AA3">
            <w:pPr>
              <w:jc w:val="both"/>
              <w:rPr>
                <w:rFonts w:cs="Arial"/>
                <w:sz w:val="14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66253" w:rsidRPr="00A75E8E" w:rsidRDefault="00F66253" w:rsidP="00C87AA3">
            <w:pPr>
              <w:jc w:val="both"/>
              <w:rPr>
                <w:rFonts w:cs="Arial"/>
                <w:b/>
                <w:color w:val="1F497D" w:themeColor="text2"/>
                <w:sz w:val="20"/>
                <w:lang w:val="en-GB"/>
              </w:rPr>
            </w:pPr>
            <w:r w:rsidRPr="00F402A7">
              <w:rPr>
                <w:rFonts w:ascii="ArialMT" w:hAnsi="ArialMT" w:cs="ArialMT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4438CA6E" wp14:editId="51BABE51">
                  <wp:extent cx="206734" cy="228884"/>
                  <wp:effectExtent l="0" t="0" r="317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99" cy="23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75E8E" w:rsidRPr="00A75E8E">
              <w:rPr>
                <w:rFonts w:cs="Arial"/>
                <w:b/>
                <w:color w:val="1F497D" w:themeColor="text2"/>
                <w:sz w:val="18"/>
                <w:lang w:val="en-GB"/>
              </w:rPr>
              <w:t>What are liability limitations of the insurance</w:t>
            </w:r>
            <w:r w:rsidR="00A75E8E">
              <w:rPr>
                <w:rFonts w:cs="Arial"/>
                <w:b/>
                <w:color w:val="1F497D" w:themeColor="text2"/>
                <w:sz w:val="18"/>
                <w:lang w:val="en-GB"/>
              </w:rPr>
              <w:t xml:space="preserve"> </w:t>
            </w:r>
            <w:r w:rsidR="00A75E8E" w:rsidRPr="00A75E8E">
              <w:rPr>
                <w:rFonts w:cs="Arial"/>
                <w:b/>
                <w:color w:val="1F497D" w:themeColor="text2"/>
                <w:sz w:val="18"/>
                <w:lang w:val="en-GB"/>
              </w:rPr>
              <w:t>cover</w:t>
            </w:r>
            <w:r w:rsidR="00A75E8E">
              <w:rPr>
                <w:rFonts w:cs="Arial"/>
                <w:b/>
                <w:color w:val="1F497D" w:themeColor="text2"/>
                <w:sz w:val="18"/>
                <w:lang w:val="en-GB"/>
              </w:rPr>
              <w:t>?</w:t>
            </w:r>
          </w:p>
          <w:p w:rsidR="003040F1" w:rsidRPr="00583C98" w:rsidRDefault="003040F1" w:rsidP="003040F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Humnst777LtCnEU-Normal"/>
                <w:sz w:val="14"/>
                <w:szCs w:val="14"/>
                <w:lang w:val="en-GB"/>
              </w:rPr>
            </w:pPr>
            <w:r w:rsidRPr="00583C98">
              <w:rPr>
                <w:rFonts w:cs="Humnst777LtCnEU-Normal"/>
                <w:sz w:val="14"/>
                <w:szCs w:val="14"/>
                <w:lang w:val="en-GB"/>
              </w:rPr>
              <w:t xml:space="preserve">TU ZDROWIE </w:t>
            </w:r>
            <w:r w:rsidR="00583C98" w:rsidRPr="00583C98">
              <w:rPr>
                <w:rFonts w:cs="Humnst777LtCnEU-Normal"/>
                <w:sz w:val="14"/>
                <w:szCs w:val="14"/>
                <w:lang w:val="en-GB"/>
              </w:rPr>
              <w:t xml:space="preserve">will not provide a service or reimburse costs incurred for a service to the Insured Person if: </w:t>
            </w:r>
          </w:p>
          <w:p w:rsidR="00583C98" w:rsidRDefault="00583C98" w:rsidP="0088077C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99" w:hanging="283"/>
              <w:jc w:val="both"/>
              <w:rPr>
                <w:rFonts w:cs="Humnst777LtCnEU-Normal"/>
                <w:sz w:val="14"/>
                <w:szCs w:val="14"/>
                <w:lang w:val="en-GB"/>
              </w:rPr>
            </w:pPr>
            <w:r>
              <w:rPr>
                <w:rFonts w:cs="Humnst777LtCnEU-Normal"/>
                <w:sz w:val="14"/>
                <w:szCs w:val="14"/>
                <w:lang w:val="en-GB"/>
              </w:rPr>
              <w:t>s</w:t>
            </w:r>
            <w:r w:rsidRPr="00583C98">
              <w:rPr>
                <w:rFonts w:cs="Humnst777LtCnEU-Normal"/>
                <w:sz w:val="14"/>
                <w:szCs w:val="14"/>
                <w:lang w:val="en-GB"/>
              </w:rPr>
              <w:t xml:space="preserve">tate of emergency, martial law, war or military operations have been declared or </w:t>
            </w:r>
            <w:r>
              <w:rPr>
                <w:rFonts w:cs="Humnst777LtCnEU-Normal"/>
                <w:sz w:val="14"/>
                <w:szCs w:val="14"/>
                <w:lang w:val="en-GB"/>
              </w:rPr>
              <w:t xml:space="preserve">are in effect, </w:t>
            </w:r>
          </w:p>
          <w:p w:rsidR="003040F1" w:rsidRPr="00583C98" w:rsidRDefault="00583C98" w:rsidP="0088077C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99" w:hanging="283"/>
              <w:jc w:val="both"/>
              <w:rPr>
                <w:rFonts w:cs="Humnst777LtCnEU-Normal"/>
                <w:sz w:val="14"/>
                <w:szCs w:val="14"/>
                <w:lang w:val="en-GB"/>
              </w:rPr>
            </w:pPr>
            <w:r w:rsidRPr="00583C98">
              <w:rPr>
                <w:rFonts w:cs="Humnst777LtCnEU-Normal"/>
                <w:sz w:val="14"/>
                <w:szCs w:val="14"/>
                <w:lang w:val="en-GB"/>
              </w:rPr>
              <w:t xml:space="preserve">the service is necessary due to </w:t>
            </w:r>
            <w:r w:rsidRPr="00583C98">
              <w:rPr>
                <w:rFonts w:cs="Humnst777LtCnEU-Normal"/>
                <w:sz w:val="14"/>
                <w:szCs w:val="14"/>
                <w:lang w:val="en-GB"/>
              </w:rPr>
              <w:t>physical or mental impairment disclosed before the age of 1, caused by genetic disorders, prematurity or perinatal trauma</w:t>
            </w:r>
            <w:r w:rsidRPr="00583C98">
              <w:rPr>
                <w:rFonts w:cs="Humnst777LtCnEU-Normal"/>
                <w:sz w:val="14"/>
                <w:szCs w:val="14"/>
                <w:lang w:val="en-GB"/>
              </w:rPr>
              <w:t>,</w:t>
            </w:r>
          </w:p>
          <w:p w:rsidR="003040F1" w:rsidRPr="00C4020B" w:rsidRDefault="00583C98" w:rsidP="0088077C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99" w:hanging="283"/>
              <w:jc w:val="both"/>
              <w:rPr>
                <w:rFonts w:cs="Humnst777LtCnEU-Normal"/>
                <w:sz w:val="14"/>
                <w:szCs w:val="14"/>
                <w:lang w:val="en-GB"/>
              </w:rPr>
            </w:pPr>
            <w:r w:rsidRPr="00C4020B">
              <w:rPr>
                <w:rFonts w:cs="Humnst777LtCnEU-Normal"/>
                <w:sz w:val="14"/>
                <w:szCs w:val="14"/>
                <w:lang w:val="en-GB"/>
              </w:rPr>
              <w:t xml:space="preserve">the service is necessary </w:t>
            </w:r>
            <w:r w:rsidR="00C4020B">
              <w:rPr>
                <w:rFonts w:cs="Humnst777LtCnEU-Normal"/>
                <w:sz w:val="14"/>
                <w:szCs w:val="14"/>
                <w:lang w:val="en-GB"/>
              </w:rPr>
              <w:t>as a result of</w:t>
            </w:r>
            <w:r w:rsidR="00C4020B" w:rsidRPr="00C4020B">
              <w:rPr>
                <w:rFonts w:cs="Humnst777LtCnEU-Normal"/>
                <w:sz w:val="14"/>
                <w:szCs w:val="14"/>
                <w:lang w:val="en-GB"/>
              </w:rPr>
              <w:t xml:space="preserve"> the Insure</w:t>
            </w:r>
            <w:r w:rsidR="005E5BB1">
              <w:rPr>
                <w:rFonts w:cs="Humnst777LtCnEU-Normal"/>
                <w:sz w:val="14"/>
                <w:szCs w:val="14"/>
                <w:lang w:val="en-GB"/>
              </w:rPr>
              <w:t>d</w:t>
            </w:r>
            <w:r w:rsidR="00C4020B" w:rsidRPr="00C4020B">
              <w:rPr>
                <w:rFonts w:cs="Humnst777LtCnEU-Normal"/>
                <w:sz w:val="14"/>
                <w:szCs w:val="14"/>
                <w:lang w:val="en-GB"/>
              </w:rPr>
              <w:t xml:space="preserve"> Person being intoxicated with alcohol, narcotic drugs or other addi</w:t>
            </w:r>
            <w:r w:rsidR="00C4020B">
              <w:rPr>
                <w:rFonts w:cs="Humnst777LtCnEU-Normal"/>
                <w:sz w:val="14"/>
                <w:szCs w:val="14"/>
                <w:lang w:val="en-GB"/>
              </w:rPr>
              <w:t xml:space="preserve">ctive substances. </w:t>
            </w:r>
          </w:p>
          <w:p w:rsidR="00C4020B" w:rsidRPr="00C4020B" w:rsidRDefault="00C4020B" w:rsidP="0088077C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99" w:hanging="283"/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>
              <w:rPr>
                <w:rFonts w:cs="Humnst777LtCnEU-Normal"/>
                <w:sz w:val="14"/>
                <w:szCs w:val="14"/>
                <w:lang w:val="en-GB"/>
              </w:rPr>
              <w:t>t</w:t>
            </w:r>
            <w:r w:rsidRPr="00C4020B">
              <w:rPr>
                <w:rFonts w:cs="Humnst777LtCnEU-Normal"/>
                <w:sz w:val="14"/>
                <w:szCs w:val="14"/>
                <w:lang w:val="en-GB"/>
              </w:rPr>
              <w:t>he service is necessary in order to diagnose and treat inf</w:t>
            </w:r>
            <w:r>
              <w:rPr>
                <w:rFonts w:cs="Humnst777LtCnEU-Normal"/>
                <w:sz w:val="14"/>
                <w:szCs w:val="14"/>
                <w:lang w:val="en-GB"/>
              </w:rPr>
              <w:t>ertility,</w:t>
            </w:r>
          </w:p>
          <w:p w:rsidR="00C4020B" w:rsidRPr="00C4020B" w:rsidRDefault="00C4020B" w:rsidP="0088077C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99" w:hanging="283"/>
              <w:jc w:val="both"/>
              <w:rPr>
                <w:rFonts w:cs="Humnst777LtCnEU-Normal"/>
                <w:sz w:val="14"/>
                <w:szCs w:val="14"/>
                <w:lang w:val="en-GB"/>
              </w:rPr>
            </w:pPr>
            <w:r w:rsidRPr="00C4020B">
              <w:rPr>
                <w:rFonts w:cs="Humnst777LtCnEU-Normal"/>
                <w:sz w:val="14"/>
                <w:szCs w:val="14"/>
                <w:lang w:val="en-GB"/>
              </w:rPr>
              <w:t xml:space="preserve">it is due to the health condition, </w:t>
            </w:r>
            <w:r w:rsidRPr="00C4020B">
              <w:rPr>
                <w:rFonts w:cs="Humnst777LtCnEU-Normal"/>
                <w:sz w:val="14"/>
                <w:szCs w:val="14"/>
                <w:lang w:val="en-GB"/>
              </w:rPr>
              <w:t xml:space="preserve">the symptoms of which occurred or were treated prior to the conclusion of the insurance agreement and were not reported or were reported to </w:t>
            </w:r>
            <w:r>
              <w:rPr>
                <w:rFonts w:cs="Humnst777LtCnEU-Normal"/>
                <w:sz w:val="14"/>
                <w:szCs w:val="14"/>
                <w:lang w:val="en-GB"/>
              </w:rPr>
              <w:t>TU ZDROWIE</w:t>
            </w:r>
            <w:r w:rsidRPr="00C4020B">
              <w:rPr>
                <w:rFonts w:cs="Humnst777LtCnEU-Normal"/>
                <w:sz w:val="14"/>
                <w:szCs w:val="14"/>
                <w:lang w:val="en-GB"/>
              </w:rPr>
              <w:t xml:space="preserve"> inaccurately prior to concluding the insurance agreement, where </w:t>
            </w:r>
            <w:r>
              <w:rPr>
                <w:rFonts w:cs="Humnst777LtCnEU-Normal"/>
                <w:sz w:val="14"/>
                <w:szCs w:val="14"/>
                <w:lang w:val="en-GB"/>
              </w:rPr>
              <w:t>TU ZDROWIE</w:t>
            </w:r>
            <w:r w:rsidRPr="00C4020B">
              <w:rPr>
                <w:rFonts w:cs="Humnst777LtCnEU-Normal"/>
                <w:sz w:val="14"/>
                <w:szCs w:val="14"/>
                <w:lang w:val="en-GB"/>
              </w:rPr>
              <w:t xml:space="preserve"> expressly inquired about such information</w:t>
            </w:r>
            <w:r w:rsidR="00D25629">
              <w:rPr>
                <w:rFonts w:cs="Humnst777LtCnEU-Normal"/>
                <w:sz w:val="14"/>
                <w:szCs w:val="14"/>
                <w:lang w:val="en-GB"/>
              </w:rPr>
              <w:t>,</w:t>
            </w:r>
          </w:p>
          <w:p w:rsidR="00D25629" w:rsidRPr="00D25629" w:rsidRDefault="00D25629" w:rsidP="0088077C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99" w:hanging="283"/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 w:rsidRPr="00D25629">
              <w:rPr>
                <w:rFonts w:cs="Humnst777LtCnEU-Normal"/>
                <w:sz w:val="14"/>
                <w:szCs w:val="14"/>
                <w:lang w:val="en-GB"/>
              </w:rPr>
              <w:t xml:space="preserve">the service was performed during </w:t>
            </w:r>
            <w:r>
              <w:rPr>
                <w:rFonts w:cs="Humnst777LtCnEU-Normal"/>
                <w:sz w:val="14"/>
                <w:szCs w:val="14"/>
                <w:lang w:val="en-GB"/>
              </w:rPr>
              <w:t>a</w:t>
            </w:r>
            <w:r w:rsidRPr="00D25629">
              <w:rPr>
                <w:rFonts w:cs="Humnst777LtCnEU-Normal"/>
                <w:sz w:val="14"/>
                <w:szCs w:val="14"/>
                <w:lang w:val="en-GB"/>
              </w:rPr>
              <w:t xml:space="preserve"> </w:t>
            </w:r>
            <w:r>
              <w:rPr>
                <w:rFonts w:cs="Humnst777LtCnEU-Normal"/>
                <w:sz w:val="14"/>
                <w:szCs w:val="14"/>
                <w:lang w:val="en-GB"/>
              </w:rPr>
              <w:t xml:space="preserve">waiting period (described in the Catalogue of Benefits – the waiting period is counted from the commencement of the insurance cover and is applicable to conservative dentistry and hospital services) </w:t>
            </w:r>
          </w:p>
          <w:p w:rsidR="00EF5C35" w:rsidRPr="00D25629" w:rsidRDefault="00D25629" w:rsidP="003040F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Humnst777LtCnEU-Normal"/>
                <w:sz w:val="14"/>
                <w:szCs w:val="14"/>
                <w:lang w:val="en-GB"/>
              </w:rPr>
            </w:pPr>
            <w:r w:rsidRPr="00D25629">
              <w:rPr>
                <w:rFonts w:cs="Humnst777LtCnEU-Normal"/>
                <w:sz w:val="14"/>
                <w:szCs w:val="14"/>
                <w:lang w:val="en-GB"/>
              </w:rPr>
              <w:t xml:space="preserve">The following are </w:t>
            </w:r>
            <w:r>
              <w:rPr>
                <w:rFonts w:cs="Humnst777LtCnEU-Normal"/>
                <w:sz w:val="14"/>
                <w:szCs w:val="14"/>
                <w:lang w:val="en-GB"/>
              </w:rPr>
              <w:t xml:space="preserve">also </w:t>
            </w:r>
            <w:r w:rsidRPr="00D25629">
              <w:rPr>
                <w:rFonts w:cs="Humnst777LtCnEU-Normal"/>
                <w:sz w:val="14"/>
                <w:szCs w:val="14"/>
                <w:lang w:val="en-GB"/>
              </w:rPr>
              <w:t xml:space="preserve">excluded from the </w:t>
            </w:r>
            <w:r>
              <w:rPr>
                <w:rFonts w:cs="Humnst777LtCnEU-Normal"/>
                <w:sz w:val="14"/>
                <w:szCs w:val="14"/>
                <w:lang w:val="en-GB"/>
              </w:rPr>
              <w:t>insurance cover</w:t>
            </w:r>
            <w:r w:rsidR="00EF5C35" w:rsidRPr="00D25629">
              <w:rPr>
                <w:rFonts w:cs="Humnst777LtCnEU-Normal"/>
                <w:sz w:val="14"/>
                <w:szCs w:val="14"/>
                <w:lang w:val="en-GB"/>
              </w:rPr>
              <w:t>:</w:t>
            </w:r>
          </w:p>
          <w:p w:rsidR="00D25629" w:rsidRPr="00D25629" w:rsidRDefault="00D25629" w:rsidP="001C288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99" w:hanging="283"/>
              <w:jc w:val="both"/>
              <w:rPr>
                <w:rFonts w:cs="Humnst777LtCnEU-Normal"/>
                <w:sz w:val="14"/>
                <w:szCs w:val="14"/>
                <w:lang w:val="en-GB"/>
              </w:rPr>
            </w:pPr>
            <w:r w:rsidRPr="00D25629">
              <w:rPr>
                <w:rFonts w:cs="Humnst777LtCnEU-Normal"/>
                <w:sz w:val="14"/>
                <w:szCs w:val="14"/>
                <w:lang w:val="en-GB"/>
              </w:rPr>
              <w:t xml:space="preserve">Diagnostic </w:t>
            </w:r>
            <w:r w:rsidR="00C75593">
              <w:rPr>
                <w:rFonts w:cs="Humnst777LtCnEU-Normal"/>
                <w:sz w:val="14"/>
                <w:szCs w:val="14"/>
                <w:lang w:val="en-GB"/>
              </w:rPr>
              <w:t>examinations</w:t>
            </w:r>
            <w:r w:rsidRPr="00D25629">
              <w:rPr>
                <w:rFonts w:cs="Humnst777LtCnEU-Normal"/>
                <w:sz w:val="14"/>
                <w:szCs w:val="14"/>
                <w:lang w:val="en-GB"/>
              </w:rPr>
              <w:t xml:space="preserve"> that the I</w:t>
            </w:r>
            <w:r>
              <w:rPr>
                <w:rFonts w:cs="Humnst777LtCnEU-Normal"/>
                <w:sz w:val="14"/>
                <w:szCs w:val="14"/>
                <w:lang w:val="en-GB"/>
              </w:rPr>
              <w:t>nsured Person was not referred to by a medical practitioner, i.e. no referral was issued,</w:t>
            </w:r>
          </w:p>
          <w:p w:rsidR="00C75593" w:rsidRPr="00C75593" w:rsidRDefault="00C75593" w:rsidP="001C288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99" w:hanging="283"/>
              <w:jc w:val="both"/>
              <w:rPr>
                <w:rFonts w:cs="Humnst777LtCnEU-Normal"/>
                <w:sz w:val="14"/>
                <w:szCs w:val="14"/>
                <w:lang w:val="en-GB"/>
              </w:rPr>
            </w:pPr>
            <w:r w:rsidRPr="00C75593">
              <w:rPr>
                <w:rFonts w:cs="Humnst777LtCnEU-Normal"/>
                <w:sz w:val="14"/>
                <w:szCs w:val="14"/>
                <w:lang w:val="en-GB"/>
              </w:rPr>
              <w:t xml:space="preserve">Diagnostic examinations specified in the Catalogue of Benefits, </w:t>
            </w:r>
            <w:r>
              <w:rPr>
                <w:rFonts w:cs="Humnst777LtCnEU-Normal"/>
                <w:sz w:val="14"/>
                <w:szCs w:val="14"/>
                <w:lang w:val="en-GB"/>
              </w:rPr>
              <w:t>rehabilitation treatments and hospital services that require a consent of a Medical Consultant</w:t>
            </w:r>
            <w:r w:rsidR="0056642B">
              <w:rPr>
                <w:rFonts w:cs="Humnst777LtCnEU-Normal"/>
                <w:sz w:val="14"/>
                <w:szCs w:val="14"/>
                <w:lang w:val="en-GB"/>
              </w:rPr>
              <w:t>,</w:t>
            </w:r>
            <w:r w:rsidR="00C849B1">
              <w:rPr>
                <w:rFonts w:cs="Humnst777LtCnEU-Normal"/>
                <w:sz w:val="14"/>
                <w:szCs w:val="14"/>
                <w:lang w:val="en-GB"/>
              </w:rPr>
              <w:t xml:space="preserve"> but the consent was not granted. </w:t>
            </w:r>
          </w:p>
          <w:p w:rsidR="00C849B1" w:rsidRPr="00C849B1" w:rsidRDefault="00C849B1" w:rsidP="00EF5C3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Humnst777LtCnEU-Normal"/>
                <w:sz w:val="14"/>
                <w:szCs w:val="14"/>
                <w:lang w:val="en-GB"/>
              </w:rPr>
            </w:pPr>
            <w:r w:rsidRPr="00C849B1">
              <w:rPr>
                <w:rFonts w:cs="Humnst777LtCnEU-Normal"/>
                <w:sz w:val="14"/>
                <w:szCs w:val="14"/>
                <w:lang w:val="en-GB"/>
              </w:rPr>
              <w:t>If the Policyholder does n</w:t>
            </w:r>
            <w:r>
              <w:rPr>
                <w:rFonts w:cs="Humnst777LtCnEU-Normal"/>
                <w:sz w:val="14"/>
                <w:szCs w:val="14"/>
                <w:lang w:val="en-GB"/>
              </w:rPr>
              <w:t xml:space="preserve">ot pay </w:t>
            </w:r>
            <w:r w:rsidR="0056642B">
              <w:rPr>
                <w:rFonts w:cs="Humnst777LtCnEU-Normal"/>
                <w:sz w:val="14"/>
                <w:szCs w:val="14"/>
                <w:lang w:val="en-GB"/>
              </w:rPr>
              <w:t>a</w:t>
            </w:r>
            <w:r>
              <w:rPr>
                <w:rFonts w:cs="Humnst777LtCnEU-Normal"/>
                <w:sz w:val="14"/>
                <w:szCs w:val="14"/>
                <w:lang w:val="en-GB"/>
              </w:rPr>
              <w:t xml:space="preserve"> premium, TU ZDROWIE may limit the insurance cover only to reimbursing costs for the availed</w:t>
            </w:r>
            <w:r w:rsidR="00536A44">
              <w:rPr>
                <w:rFonts w:cs="Humnst777LtCnEU-Normal"/>
                <w:sz w:val="14"/>
                <w:szCs w:val="14"/>
                <w:lang w:val="en-GB"/>
              </w:rPr>
              <w:t xml:space="preserve"> </w:t>
            </w:r>
            <w:r>
              <w:rPr>
                <w:rFonts w:cs="Humnst777LtCnEU-Normal"/>
                <w:sz w:val="14"/>
                <w:szCs w:val="14"/>
                <w:lang w:val="en-GB"/>
              </w:rPr>
              <w:t xml:space="preserve"> medical services. Making </w:t>
            </w:r>
            <w:r w:rsidR="00F23476">
              <w:rPr>
                <w:rFonts w:cs="Humnst777LtCnEU-Normal"/>
                <w:sz w:val="14"/>
                <w:szCs w:val="14"/>
                <w:lang w:val="en-GB"/>
              </w:rPr>
              <w:t>arrangements</w:t>
            </w:r>
            <w:r w:rsidR="00536A44">
              <w:rPr>
                <w:rFonts w:cs="Humnst777LtCnEU-Normal"/>
                <w:sz w:val="14"/>
                <w:szCs w:val="14"/>
                <w:lang w:val="en-GB"/>
              </w:rPr>
              <w:t xml:space="preserve"> for services via the 24h helpline or</w:t>
            </w:r>
            <w:r w:rsidR="00F23476">
              <w:rPr>
                <w:rFonts w:cs="Humnst777LtCnEU-Normal"/>
                <w:sz w:val="14"/>
                <w:szCs w:val="14"/>
                <w:lang w:val="en-GB"/>
              </w:rPr>
              <w:t xml:space="preserve"> receiving non-cash services </w:t>
            </w:r>
            <w:r w:rsidR="00F23476">
              <w:rPr>
                <w:rFonts w:cs="Humnst777LtCnEU-Normal"/>
                <w:sz w:val="14"/>
                <w:szCs w:val="14"/>
                <w:lang w:val="en-GB"/>
              </w:rPr>
              <w:t xml:space="preserve">directly </w:t>
            </w:r>
            <w:r w:rsidR="00F23476">
              <w:rPr>
                <w:rFonts w:cs="Humnst777LtCnEU-Normal"/>
                <w:sz w:val="14"/>
                <w:szCs w:val="14"/>
                <w:lang w:val="en-GB"/>
              </w:rPr>
              <w:t xml:space="preserve">in the medical facilities </w:t>
            </w:r>
            <w:r w:rsidR="00536A44">
              <w:rPr>
                <w:rFonts w:cs="Humnst777LtCnEU-Normal"/>
                <w:sz w:val="14"/>
                <w:szCs w:val="14"/>
                <w:lang w:val="en-GB"/>
              </w:rPr>
              <w:t>will not be possible</w:t>
            </w:r>
            <w:r w:rsidR="00F23476">
              <w:rPr>
                <w:rFonts w:cs="Humnst777LtCnEU-Normal"/>
                <w:sz w:val="14"/>
                <w:szCs w:val="14"/>
                <w:lang w:val="en-GB"/>
              </w:rPr>
              <w:t>.</w:t>
            </w:r>
            <w:r w:rsidR="00536A44">
              <w:rPr>
                <w:rFonts w:cs="Humnst777LtCnEU-Normal"/>
                <w:sz w:val="14"/>
                <w:szCs w:val="14"/>
                <w:lang w:val="en-GB"/>
              </w:rPr>
              <w:t xml:space="preserve"> </w:t>
            </w:r>
          </w:p>
          <w:p w:rsidR="003040F1" w:rsidRPr="0056642B" w:rsidRDefault="00F23476" w:rsidP="003040F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 w:rsidRPr="007416EF">
              <w:rPr>
                <w:rFonts w:cs="Humnst777LtCnEU-Normal"/>
                <w:sz w:val="14"/>
                <w:szCs w:val="14"/>
                <w:lang w:val="en-GB"/>
              </w:rPr>
              <w:t xml:space="preserve">If in the Catalogue of Benefits there </w:t>
            </w:r>
            <w:r w:rsidR="007416EF" w:rsidRPr="007416EF">
              <w:rPr>
                <w:rFonts w:cs="Humnst777LtCnEU-Normal"/>
                <w:sz w:val="14"/>
                <w:szCs w:val="14"/>
                <w:lang w:val="en-GB"/>
              </w:rPr>
              <w:t>are limits set out to</w:t>
            </w:r>
            <w:r w:rsidRPr="007416EF">
              <w:rPr>
                <w:rFonts w:cs="Humnst777LtCnEU-Normal"/>
                <w:sz w:val="14"/>
                <w:szCs w:val="14"/>
                <w:lang w:val="en-GB"/>
              </w:rPr>
              <w:t xml:space="preserve"> certain services</w:t>
            </w:r>
            <w:r w:rsidR="007416EF" w:rsidRPr="007416EF">
              <w:rPr>
                <w:rFonts w:cs="Humnst777LtCnEU-Normal"/>
                <w:sz w:val="14"/>
                <w:szCs w:val="14"/>
                <w:lang w:val="en-GB"/>
              </w:rPr>
              <w:t xml:space="preserve">, those services become unavailable once the Insured Person makes use of the </w:t>
            </w:r>
            <w:r w:rsidR="007416EF">
              <w:rPr>
                <w:rFonts w:cs="Humnst777LtCnEU-Normal"/>
                <w:sz w:val="14"/>
                <w:szCs w:val="14"/>
                <w:lang w:val="en-GB"/>
              </w:rPr>
              <w:t xml:space="preserve">full </w:t>
            </w:r>
            <w:r w:rsidR="0056642B">
              <w:rPr>
                <w:rFonts w:cs="Humnst777LtCnEU-Normal"/>
                <w:sz w:val="14"/>
                <w:szCs w:val="14"/>
                <w:lang w:val="en-GB"/>
              </w:rPr>
              <w:t>allowance</w:t>
            </w:r>
            <w:r w:rsidR="007416EF">
              <w:rPr>
                <w:rFonts w:cs="Humnst777LtCnEU-Normal"/>
                <w:sz w:val="14"/>
                <w:szCs w:val="14"/>
                <w:lang w:val="en-GB"/>
              </w:rPr>
              <w:t xml:space="preserve">, i.e. the number of services indicated in the Catalogue of Benefits. </w:t>
            </w:r>
          </w:p>
        </w:tc>
      </w:tr>
    </w:tbl>
    <w:p w:rsidR="00F66253" w:rsidRPr="0056642B" w:rsidRDefault="00F66253" w:rsidP="00F66253">
      <w:pPr>
        <w:spacing w:after="0" w:line="240" w:lineRule="auto"/>
        <w:jc w:val="both"/>
        <w:rPr>
          <w:rFonts w:cs="Arial"/>
          <w:b/>
          <w:color w:val="1F497D" w:themeColor="text2"/>
          <w:sz w:val="10"/>
          <w:lang w:val="en-GB"/>
        </w:rPr>
      </w:pPr>
    </w:p>
    <w:tbl>
      <w:tblPr>
        <w:tblStyle w:val="Tabela-Siatka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66253" w:rsidRPr="004F5F39" w:rsidTr="00F66253">
        <w:tc>
          <w:tcPr>
            <w:tcW w:w="9354" w:type="dxa"/>
            <w:shd w:val="clear" w:color="auto" w:fill="F2F2F2" w:themeFill="background1" w:themeFillShade="F2"/>
          </w:tcPr>
          <w:p w:rsidR="004F5F39" w:rsidRPr="00010DF5" w:rsidRDefault="00F66253" w:rsidP="004F5F39">
            <w:pPr>
              <w:jc w:val="both"/>
              <w:rPr>
                <w:rFonts w:cs="Arial"/>
                <w:b/>
                <w:color w:val="1F497D" w:themeColor="text2"/>
                <w:sz w:val="20"/>
                <w:lang w:val="en-GB"/>
              </w:rPr>
            </w:pPr>
            <w:r w:rsidRPr="00F402A7">
              <w:rPr>
                <w:rFonts w:ascii="ArialMT" w:hAnsi="ArialMT" w:cs="ArialMT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01A25655" wp14:editId="4BD6A9B5">
                  <wp:extent cx="232575" cy="238539"/>
                  <wp:effectExtent l="0" t="0" r="0" b="952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17" cy="24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5F39">
              <w:rPr>
                <w:rFonts w:cs="Arial"/>
                <w:b/>
                <w:color w:val="1F497D" w:themeColor="text2"/>
                <w:sz w:val="18"/>
                <w:lang w:val="en-GB"/>
              </w:rPr>
              <w:t xml:space="preserve"> </w:t>
            </w:r>
            <w:r w:rsidR="004F5F39" w:rsidRPr="00010DF5">
              <w:rPr>
                <w:rFonts w:cs="Arial"/>
                <w:b/>
                <w:color w:val="1F497D" w:themeColor="text2"/>
                <w:sz w:val="18"/>
                <w:lang w:val="en-GB"/>
              </w:rPr>
              <w:t>Where is the insurance v</w:t>
            </w:r>
            <w:r w:rsidR="004F5F39">
              <w:rPr>
                <w:rFonts w:cs="Arial"/>
                <w:b/>
                <w:color w:val="1F497D" w:themeColor="text2"/>
                <w:sz w:val="18"/>
                <w:lang w:val="en-GB"/>
              </w:rPr>
              <w:t>alid?</w:t>
            </w:r>
          </w:p>
          <w:p w:rsidR="003040F1" w:rsidRPr="004F5F39" w:rsidRDefault="004F5F39" w:rsidP="004F5F39">
            <w:pPr>
              <w:pStyle w:val="Akapitzlist"/>
              <w:numPr>
                <w:ilvl w:val="0"/>
                <w:numId w:val="2"/>
              </w:numPr>
              <w:ind w:left="142" w:hanging="142"/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 w:rsidRPr="00010DF5">
              <w:rPr>
                <w:rFonts w:cs="Humnst777LtCnEU-Normal"/>
                <w:sz w:val="14"/>
                <w:szCs w:val="16"/>
                <w:lang w:val="en-GB"/>
              </w:rPr>
              <w:t>The insurance is valid in the territory of Republic of Poland.</w:t>
            </w:r>
          </w:p>
        </w:tc>
      </w:tr>
    </w:tbl>
    <w:p w:rsidR="00F66253" w:rsidRPr="004F5F39" w:rsidRDefault="00F66253" w:rsidP="00F66253">
      <w:pPr>
        <w:spacing w:after="0" w:line="240" w:lineRule="auto"/>
        <w:jc w:val="both"/>
        <w:rPr>
          <w:rFonts w:cs="Arial"/>
          <w:b/>
          <w:color w:val="1F497D" w:themeColor="text2"/>
          <w:sz w:val="10"/>
          <w:lang w:val="en-GB"/>
        </w:rPr>
      </w:pPr>
    </w:p>
    <w:tbl>
      <w:tblPr>
        <w:tblStyle w:val="Tabela-Siatka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66253" w:rsidRPr="0056642B" w:rsidTr="00CD749A">
        <w:trPr>
          <w:trHeight w:val="704"/>
        </w:trPr>
        <w:tc>
          <w:tcPr>
            <w:tcW w:w="9354" w:type="dxa"/>
            <w:shd w:val="clear" w:color="auto" w:fill="F2F2F2" w:themeFill="background1" w:themeFillShade="F2"/>
          </w:tcPr>
          <w:p w:rsidR="00F66253" w:rsidRPr="004F5F39" w:rsidRDefault="00F66253" w:rsidP="00C87AA3">
            <w:pPr>
              <w:jc w:val="both"/>
              <w:rPr>
                <w:rFonts w:cs="Arial"/>
                <w:b/>
                <w:color w:val="1F497D" w:themeColor="text2"/>
                <w:sz w:val="20"/>
                <w:lang w:val="en-GB"/>
              </w:rPr>
            </w:pPr>
            <w:r w:rsidRPr="00F402A7">
              <w:rPr>
                <w:rFonts w:ascii="ArialMT" w:hAnsi="ArialMT" w:cs="ArialMT"/>
                <w:b/>
                <w:noProof/>
                <w:sz w:val="18"/>
                <w:szCs w:val="18"/>
                <w:lang w:eastAsia="pl-PL"/>
              </w:rPr>
              <w:lastRenderedPageBreak/>
              <w:drawing>
                <wp:inline distT="0" distB="0" distL="0" distR="0" wp14:anchorId="352EA5B5" wp14:editId="5997EFC3">
                  <wp:extent cx="244987" cy="238539"/>
                  <wp:effectExtent l="0" t="0" r="317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46" cy="24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F5F39" w:rsidRPr="002A6C88">
              <w:rPr>
                <w:rFonts w:cs="Arial"/>
                <w:b/>
                <w:color w:val="1F497D" w:themeColor="text2"/>
                <w:sz w:val="18"/>
                <w:lang w:val="en-GB"/>
              </w:rPr>
              <w:t xml:space="preserve"> </w:t>
            </w:r>
            <w:r w:rsidR="004F5F39" w:rsidRPr="002A6C88">
              <w:rPr>
                <w:rFonts w:cs="Arial"/>
                <w:b/>
                <w:color w:val="1F497D" w:themeColor="text2"/>
                <w:sz w:val="18"/>
                <w:lang w:val="en-GB"/>
              </w:rPr>
              <w:t xml:space="preserve">What are the Insured Person’s </w:t>
            </w:r>
            <w:r w:rsidR="004F5F39">
              <w:rPr>
                <w:rFonts w:cs="Arial"/>
                <w:b/>
                <w:color w:val="1F497D" w:themeColor="text2"/>
                <w:sz w:val="18"/>
                <w:lang w:val="en-GB"/>
              </w:rPr>
              <w:t>responsibilities</w:t>
            </w:r>
            <w:r w:rsidR="004F5F39" w:rsidRPr="002A6C88">
              <w:rPr>
                <w:rFonts w:cs="Arial"/>
                <w:b/>
                <w:color w:val="1F497D" w:themeColor="text2"/>
                <w:sz w:val="18"/>
                <w:lang w:val="en-GB"/>
              </w:rPr>
              <w:t>?</w:t>
            </w:r>
          </w:p>
          <w:p w:rsidR="004F5F39" w:rsidRPr="004F5F39" w:rsidRDefault="004F5F39" w:rsidP="0088077C">
            <w:pPr>
              <w:pStyle w:val="Akapitzlist"/>
              <w:numPr>
                <w:ilvl w:val="0"/>
                <w:numId w:val="10"/>
              </w:numPr>
              <w:ind w:left="142" w:hanging="142"/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 w:rsidRPr="004F5F39">
              <w:rPr>
                <w:rFonts w:cs="Humnst777LtCnEU-Normal"/>
                <w:sz w:val="14"/>
                <w:szCs w:val="16"/>
                <w:lang w:val="en-GB"/>
              </w:rPr>
              <w:t>The Insured Person should p</w:t>
            </w:r>
            <w:r>
              <w:rPr>
                <w:rFonts w:cs="Humnst777LtCnEU-Normal"/>
                <w:sz w:val="14"/>
                <w:szCs w:val="16"/>
                <w:lang w:val="en-GB"/>
              </w:rPr>
              <w:t>rovide complete and truthful answers to TU ZDROWIE’s inquiries:</w:t>
            </w:r>
          </w:p>
          <w:p w:rsidR="003040F1" w:rsidRPr="004F5F39" w:rsidRDefault="004F5F39" w:rsidP="004F5F39">
            <w:pPr>
              <w:pStyle w:val="Akapitzlist"/>
              <w:numPr>
                <w:ilvl w:val="0"/>
                <w:numId w:val="12"/>
              </w:numPr>
              <w:ind w:left="459" w:hanging="218"/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>
              <w:rPr>
                <w:rFonts w:cs="Humnst777LtCnEU-Normal"/>
                <w:sz w:val="14"/>
                <w:szCs w:val="16"/>
                <w:lang w:val="en-GB"/>
              </w:rPr>
              <w:t>b</w:t>
            </w:r>
            <w:r w:rsidRPr="004F5F39">
              <w:rPr>
                <w:rFonts w:cs="Humnst777LtCnEU-Normal"/>
                <w:sz w:val="14"/>
                <w:szCs w:val="16"/>
                <w:lang w:val="en-GB"/>
              </w:rPr>
              <w:t xml:space="preserve">efore concluding the health insurance agreement or; </w:t>
            </w:r>
          </w:p>
          <w:p w:rsidR="004F5F39" w:rsidRPr="004F5F39" w:rsidRDefault="004F5F39" w:rsidP="004F5F39">
            <w:pPr>
              <w:pStyle w:val="Akapitzlist"/>
              <w:numPr>
                <w:ilvl w:val="0"/>
                <w:numId w:val="12"/>
              </w:numPr>
              <w:ind w:left="459" w:hanging="218"/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>
              <w:rPr>
                <w:rFonts w:cs="Humnst777LtCnEU-Normal"/>
                <w:sz w:val="14"/>
                <w:szCs w:val="16"/>
                <w:lang w:val="en-GB"/>
              </w:rPr>
              <w:t>in the duration of it, e.g., in case of applying for reimbursement or</w:t>
            </w:r>
            <w:r w:rsidR="00CA5451">
              <w:rPr>
                <w:rFonts w:cs="Humnst777LtCnEU-Normal"/>
                <w:sz w:val="14"/>
                <w:szCs w:val="16"/>
                <w:lang w:val="en-GB"/>
              </w:rPr>
              <w:t xml:space="preserve"> requesting</w:t>
            </w:r>
            <w:r>
              <w:rPr>
                <w:rFonts w:cs="Humnst777LtCnEU-Normal"/>
                <w:sz w:val="14"/>
                <w:szCs w:val="16"/>
                <w:lang w:val="en-GB"/>
              </w:rPr>
              <w:t xml:space="preserve"> CT</w:t>
            </w:r>
            <w:r w:rsidR="00CA5451">
              <w:rPr>
                <w:rFonts w:cs="Humnst777LtCnEU-Normal"/>
                <w:sz w:val="14"/>
                <w:szCs w:val="16"/>
                <w:lang w:val="en-GB"/>
              </w:rPr>
              <w:t xml:space="preserve"> and</w:t>
            </w:r>
            <w:r>
              <w:rPr>
                <w:rFonts w:cs="Humnst777LtCnEU-Normal"/>
                <w:sz w:val="14"/>
                <w:szCs w:val="16"/>
                <w:lang w:val="en-GB"/>
              </w:rPr>
              <w:t xml:space="preserve"> MRI scan</w:t>
            </w:r>
            <w:r w:rsidR="00CA5451">
              <w:rPr>
                <w:rFonts w:cs="Humnst777LtCnEU-Normal"/>
                <w:sz w:val="14"/>
                <w:szCs w:val="16"/>
                <w:lang w:val="en-GB"/>
              </w:rPr>
              <w:t xml:space="preserve">s, rehabilitation or hospital treatments </w:t>
            </w:r>
            <w:r>
              <w:rPr>
                <w:rFonts w:cs="Humnst777LtCnEU-Normal"/>
                <w:sz w:val="14"/>
                <w:szCs w:val="16"/>
                <w:lang w:val="en-GB"/>
              </w:rPr>
              <w:t>to be arranged</w:t>
            </w:r>
            <w:r w:rsidR="00CA5451">
              <w:rPr>
                <w:rFonts w:cs="Humnst777LtCnEU-Normal"/>
                <w:sz w:val="14"/>
                <w:szCs w:val="16"/>
                <w:lang w:val="en-GB"/>
              </w:rPr>
              <w:t>.</w:t>
            </w:r>
          </w:p>
          <w:p w:rsidR="0088173E" w:rsidRPr="0088173E" w:rsidRDefault="0088173E" w:rsidP="0088077C">
            <w:pPr>
              <w:pStyle w:val="Akapitzlist"/>
              <w:numPr>
                <w:ilvl w:val="0"/>
                <w:numId w:val="10"/>
              </w:numPr>
              <w:ind w:left="142" w:hanging="142"/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 w:rsidRPr="0088173E">
              <w:rPr>
                <w:rFonts w:cs="Humnst777LtCnEU-Normal"/>
                <w:sz w:val="14"/>
                <w:szCs w:val="16"/>
                <w:lang w:val="en-GB"/>
              </w:rPr>
              <w:t>The Insured Person should</w:t>
            </w:r>
            <w:r>
              <w:rPr>
                <w:rFonts w:cs="Humnst777LtCnEU-Normal"/>
                <w:sz w:val="14"/>
                <w:szCs w:val="16"/>
                <w:lang w:val="en-GB"/>
              </w:rPr>
              <w:t xml:space="preserve"> be on time for their medical appointments or inform TU ZDROWIE about not being able to attend the arranged medical service on that date </w:t>
            </w:r>
            <w:r w:rsidR="0056642B">
              <w:rPr>
                <w:rFonts w:cs="Humnst777LtCnEU-Normal"/>
                <w:sz w:val="14"/>
                <w:szCs w:val="16"/>
                <w:lang w:val="en-GB"/>
              </w:rPr>
              <w:t>in</w:t>
            </w:r>
            <w:r w:rsidR="0056642B">
              <w:rPr>
                <w:rFonts w:cs="Humnst777LtCnEU-Normal"/>
                <w:sz w:val="14"/>
                <w:szCs w:val="16"/>
                <w:lang w:val="en-GB"/>
              </w:rPr>
              <w:t xml:space="preserve"> a</w:t>
            </w:r>
            <w:r w:rsidR="0056642B">
              <w:rPr>
                <w:rFonts w:cs="Humnst777LtCnEU-Normal"/>
                <w:sz w:val="14"/>
                <w:szCs w:val="16"/>
                <w:lang w:val="en-GB"/>
              </w:rPr>
              <w:t xml:space="preserve"> timely manner</w:t>
            </w:r>
            <w:r w:rsidR="0056642B">
              <w:rPr>
                <w:rFonts w:cs="Humnst777LtCnEU-Normal"/>
                <w:sz w:val="14"/>
                <w:szCs w:val="16"/>
                <w:lang w:val="en-GB"/>
              </w:rPr>
              <w:t>.</w:t>
            </w:r>
          </w:p>
          <w:p w:rsidR="0088173E" w:rsidRPr="00184755" w:rsidRDefault="0088173E" w:rsidP="00136120">
            <w:pPr>
              <w:pStyle w:val="Akapitzlist"/>
              <w:numPr>
                <w:ilvl w:val="0"/>
                <w:numId w:val="10"/>
              </w:numPr>
              <w:ind w:left="142" w:hanging="142"/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 w:rsidRPr="00184755">
              <w:rPr>
                <w:rFonts w:cs="Humnst777LtCnEU-Normal"/>
                <w:sz w:val="14"/>
                <w:szCs w:val="16"/>
                <w:lang w:val="en-GB"/>
              </w:rPr>
              <w:t xml:space="preserve">For efficient organisation </w:t>
            </w:r>
            <w:r w:rsidR="00184755" w:rsidRPr="00184755">
              <w:rPr>
                <w:rFonts w:cs="Humnst777LtCnEU-Normal"/>
                <w:sz w:val="14"/>
                <w:szCs w:val="16"/>
                <w:lang w:val="en-GB"/>
              </w:rPr>
              <w:t>of m</w:t>
            </w:r>
            <w:r w:rsidR="00184755">
              <w:rPr>
                <w:rFonts w:cs="Humnst777LtCnEU-Normal"/>
                <w:sz w:val="14"/>
                <w:szCs w:val="16"/>
                <w:lang w:val="en-GB"/>
              </w:rPr>
              <w:t xml:space="preserve">edical services via the 24h helpline or in </w:t>
            </w:r>
            <w:r w:rsidR="0056642B">
              <w:rPr>
                <w:rFonts w:cs="Humnst777LtCnEU-Normal"/>
                <w:sz w:val="14"/>
                <w:szCs w:val="16"/>
                <w:lang w:val="en-GB"/>
              </w:rPr>
              <w:t xml:space="preserve">the </w:t>
            </w:r>
            <w:r w:rsidR="00184755">
              <w:rPr>
                <w:rFonts w:cs="Humnst777LtCnEU-Normal"/>
                <w:sz w:val="14"/>
                <w:szCs w:val="16"/>
                <w:lang w:val="en-GB"/>
              </w:rPr>
              <w:t xml:space="preserve">medical facilities providing online benefits, the Insured Person should provide </w:t>
            </w:r>
            <w:r w:rsidR="0056642B">
              <w:rPr>
                <w:rFonts w:cs="Humnst777LtCnEU-Normal"/>
                <w:sz w:val="14"/>
                <w:szCs w:val="16"/>
                <w:lang w:val="en-GB"/>
              </w:rPr>
              <w:t xml:space="preserve">TU ZDROWIE </w:t>
            </w:r>
            <w:r w:rsidR="0056642B">
              <w:rPr>
                <w:rFonts w:cs="Humnst777LtCnEU-Normal"/>
                <w:sz w:val="14"/>
                <w:szCs w:val="16"/>
                <w:lang w:val="en-GB"/>
              </w:rPr>
              <w:t xml:space="preserve">with </w:t>
            </w:r>
            <w:r w:rsidR="00184755">
              <w:rPr>
                <w:rFonts w:cs="Humnst777LtCnEU-Normal"/>
                <w:sz w:val="14"/>
                <w:szCs w:val="16"/>
                <w:lang w:val="en-GB"/>
              </w:rPr>
              <w:t>their consent to process data on their heath</w:t>
            </w:r>
            <w:bookmarkStart w:id="0" w:name="_GoBack"/>
            <w:bookmarkEnd w:id="0"/>
            <w:r w:rsidR="00184755">
              <w:rPr>
                <w:rFonts w:cs="Humnst777LtCnEU-Normal"/>
                <w:sz w:val="14"/>
                <w:szCs w:val="16"/>
                <w:lang w:val="en-GB"/>
              </w:rPr>
              <w:t xml:space="preserve"> (the easiest to do it is via our website: </w:t>
            </w:r>
            <w:r w:rsidR="00184755" w:rsidRPr="00184755">
              <w:rPr>
                <w:rFonts w:cs="Humnst777LtCnEU-Normal"/>
                <w:sz w:val="14"/>
                <w:szCs w:val="16"/>
                <w:lang w:val="en-GB"/>
              </w:rPr>
              <w:t>https://www.tuzdrowie.pl/zgody/).</w:t>
            </w:r>
          </w:p>
          <w:p w:rsidR="003040F1" w:rsidRPr="0056642B" w:rsidRDefault="003040F1" w:rsidP="00184755">
            <w:pPr>
              <w:pStyle w:val="Akapitzlist"/>
              <w:ind w:left="142"/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</w:p>
        </w:tc>
      </w:tr>
    </w:tbl>
    <w:p w:rsidR="00F66253" w:rsidRPr="0056642B" w:rsidRDefault="00F66253" w:rsidP="00F66253">
      <w:pPr>
        <w:spacing w:after="0" w:line="240" w:lineRule="auto"/>
        <w:jc w:val="both"/>
        <w:rPr>
          <w:rFonts w:cs="Arial"/>
          <w:b/>
          <w:color w:val="1F497D" w:themeColor="text2"/>
          <w:sz w:val="10"/>
          <w:lang w:val="en-GB"/>
        </w:rPr>
      </w:pPr>
    </w:p>
    <w:tbl>
      <w:tblPr>
        <w:tblStyle w:val="Tabela-Siatka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66253" w:rsidTr="00D342A0">
        <w:tc>
          <w:tcPr>
            <w:tcW w:w="9354" w:type="dxa"/>
            <w:shd w:val="clear" w:color="auto" w:fill="F2F2F2" w:themeFill="background1" w:themeFillShade="F2"/>
          </w:tcPr>
          <w:p w:rsidR="00F66253" w:rsidRPr="00184755" w:rsidRDefault="00F66253" w:rsidP="00C87AA3">
            <w:pPr>
              <w:jc w:val="both"/>
              <w:rPr>
                <w:rFonts w:cs="Arial"/>
                <w:b/>
                <w:color w:val="1F497D" w:themeColor="text2"/>
                <w:sz w:val="20"/>
                <w:lang w:val="en-GB"/>
              </w:rPr>
            </w:pPr>
            <w:r w:rsidRPr="00F402A7">
              <w:rPr>
                <w:rFonts w:ascii="ArialMT" w:hAnsi="ArialMT" w:cs="ArialMT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61A77E56" wp14:editId="71A6967C">
                  <wp:extent cx="240003" cy="246491"/>
                  <wp:effectExtent l="0" t="0" r="8255" b="127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39" cy="26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4755" w:rsidRPr="00184755">
              <w:rPr>
                <w:rFonts w:cs="Arial"/>
                <w:b/>
                <w:color w:val="1F497D" w:themeColor="text2"/>
                <w:sz w:val="18"/>
                <w:lang w:val="en-GB"/>
              </w:rPr>
              <w:t>When and how to pay the premiums</w:t>
            </w:r>
            <w:r w:rsidRPr="00184755">
              <w:rPr>
                <w:rFonts w:cs="Arial"/>
                <w:b/>
                <w:color w:val="1F497D" w:themeColor="text2"/>
                <w:sz w:val="18"/>
                <w:lang w:val="en-GB"/>
              </w:rPr>
              <w:t>?</w:t>
            </w:r>
          </w:p>
          <w:p w:rsidR="0088077C" w:rsidRPr="00184755" w:rsidRDefault="00184755" w:rsidP="0088077C">
            <w:pPr>
              <w:pStyle w:val="Akapitzlist"/>
              <w:numPr>
                <w:ilvl w:val="0"/>
                <w:numId w:val="10"/>
              </w:numPr>
              <w:ind w:left="142" w:hanging="142"/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 w:rsidRPr="00184755">
              <w:rPr>
                <w:rFonts w:cs="Humnst777LtCnEU-Normal"/>
                <w:sz w:val="14"/>
                <w:szCs w:val="16"/>
                <w:lang w:val="en-GB"/>
              </w:rPr>
              <w:t>It is the Policyholder that pays the premium for the In</w:t>
            </w:r>
            <w:r>
              <w:rPr>
                <w:rFonts w:cs="Humnst777LtCnEU-Normal"/>
                <w:sz w:val="14"/>
                <w:szCs w:val="16"/>
                <w:lang w:val="en-GB"/>
              </w:rPr>
              <w:t>sured Person.</w:t>
            </w:r>
          </w:p>
          <w:p w:rsidR="0088077C" w:rsidRPr="00693EAB" w:rsidRDefault="00693EAB" w:rsidP="00693EAB">
            <w:pPr>
              <w:pStyle w:val="Akapitzlist"/>
              <w:numPr>
                <w:ilvl w:val="0"/>
                <w:numId w:val="10"/>
              </w:numPr>
              <w:ind w:left="142" w:hanging="142"/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 w:rsidRPr="00693EAB">
              <w:rPr>
                <w:rFonts w:cs="Humnst777LtCnEU-Normal"/>
                <w:sz w:val="14"/>
                <w:szCs w:val="16"/>
                <w:lang w:val="en-GB"/>
              </w:rPr>
              <w:t>The payment</w:t>
            </w:r>
            <w:r>
              <w:rPr>
                <w:rFonts w:cs="Humnst777LtCnEU-Normal"/>
                <w:sz w:val="14"/>
                <w:szCs w:val="16"/>
                <w:lang w:val="en-GB"/>
              </w:rPr>
              <w:t xml:space="preserve"> due</w:t>
            </w:r>
            <w:r w:rsidRPr="00693EAB">
              <w:rPr>
                <w:rFonts w:cs="Humnst777LtCnEU-Normal"/>
                <w:sz w:val="14"/>
                <w:szCs w:val="16"/>
                <w:lang w:val="en-GB"/>
              </w:rPr>
              <w:t xml:space="preserve"> date, the p</w:t>
            </w:r>
            <w:r>
              <w:rPr>
                <w:rFonts w:cs="Humnst777LtCnEU-Normal"/>
                <w:sz w:val="14"/>
                <w:szCs w:val="16"/>
                <w:lang w:val="en-GB"/>
              </w:rPr>
              <w:t xml:space="preserve">remium amount and TU ZDROWIE bank account number are stated in the policy. </w:t>
            </w:r>
          </w:p>
        </w:tc>
      </w:tr>
    </w:tbl>
    <w:p w:rsidR="00F66253" w:rsidRPr="00BB33B0" w:rsidRDefault="00F66253" w:rsidP="00F66253">
      <w:pPr>
        <w:spacing w:after="0" w:line="240" w:lineRule="auto"/>
        <w:jc w:val="both"/>
        <w:rPr>
          <w:rFonts w:cs="Arial"/>
          <w:b/>
          <w:color w:val="1F497D" w:themeColor="text2"/>
          <w:sz w:val="10"/>
        </w:rPr>
      </w:pPr>
    </w:p>
    <w:tbl>
      <w:tblPr>
        <w:tblStyle w:val="Tabela-Siatka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66253" w:rsidRPr="005823D8" w:rsidTr="005823D8">
        <w:trPr>
          <w:trHeight w:val="1555"/>
        </w:trPr>
        <w:tc>
          <w:tcPr>
            <w:tcW w:w="9354" w:type="dxa"/>
            <w:shd w:val="clear" w:color="auto" w:fill="F2F2F2" w:themeFill="background1" w:themeFillShade="F2"/>
          </w:tcPr>
          <w:p w:rsidR="00F66253" w:rsidRPr="005823D8" w:rsidRDefault="00F66253" w:rsidP="00C87AA3">
            <w:pPr>
              <w:jc w:val="both"/>
              <w:rPr>
                <w:rFonts w:cs="Arial"/>
                <w:b/>
                <w:color w:val="1F497D" w:themeColor="text2"/>
                <w:sz w:val="20"/>
                <w:lang w:val="en-GB"/>
              </w:rPr>
            </w:pPr>
            <w:r w:rsidRPr="00F402A7">
              <w:rPr>
                <w:rFonts w:ascii="ArialMT" w:hAnsi="ArialMT" w:cs="ArialMT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65E8BE19" wp14:editId="2CD1AFB5">
                  <wp:extent cx="224790" cy="236318"/>
                  <wp:effectExtent l="0" t="0" r="381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59" cy="24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3EAB" w:rsidRPr="00693EAB">
              <w:rPr>
                <w:rFonts w:cs="Arial"/>
                <w:b/>
                <w:color w:val="1F497D" w:themeColor="text2"/>
                <w:sz w:val="18"/>
                <w:lang w:val="en-GB"/>
              </w:rPr>
              <w:t xml:space="preserve">When does the insurance cover start and finish? </w:t>
            </w:r>
          </w:p>
          <w:p w:rsidR="00693EAB" w:rsidRPr="00693EAB" w:rsidRDefault="00693EAB" w:rsidP="00134E5F">
            <w:pPr>
              <w:pStyle w:val="Akapitzlist"/>
              <w:numPr>
                <w:ilvl w:val="0"/>
                <w:numId w:val="10"/>
              </w:numPr>
              <w:ind w:left="142" w:hanging="142"/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 w:rsidRPr="00693EAB">
              <w:rPr>
                <w:rFonts w:cs="Humnst777LtCnEU-Normal"/>
                <w:sz w:val="14"/>
                <w:szCs w:val="16"/>
                <w:lang w:val="en-GB"/>
              </w:rPr>
              <w:t>The start and end d</w:t>
            </w:r>
            <w:r>
              <w:rPr>
                <w:rFonts w:cs="Humnst777LtCnEU-Normal"/>
                <w:sz w:val="14"/>
                <w:szCs w:val="16"/>
                <w:lang w:val="en-GB"/>
              </w:rPr>
              <w:t xml:space="preserve">ates of the insurance cover are stated in the policy. </w:t>
            </w:r>
          </w:p>
          <w:p w:rsidR="00693EAB" w:rsidRPr="00693EAB" w:rsidRDefault="00693EAB" w:rsidP="00134E5F">
            <w:pPr>
              <w:pStyle w:val="Akapitzlist"/>
              <w:numPr>
                <w:ilvl w:val="0"/>
                <w:numId w:val="10"/>
              </w:numPr>
              <w:ind w:left="142" w:hanging="142"/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 w:rsidRPr="00693EAB">
              <w:rPr>
                <w:rFonts w:cs="Humnst777LtCnEU-Normal"/>
                <w:sz w:val="14"/>
                <w:szCs w:val="16"/>
                <w:lang w:val="en-GB"/>
              </w:rPr>
              <w:t>The insurance cover begins o</w:t>
            </w:r>
            <w:r>
              <w:rPr>
                <w:rFonts w:cs="Humnst777LtCnEU-Normal"/>
                <w:sz w:val="14"/>
                <w:szCs w:val="16"/>
                <w:lang w:val="en-GB"/>
              </w:rPr>
              <w:t>n the 1</w:t>
            </w:r>
            <w:r w:rsidRPr="00693EAB">
              <w:rPr>
                <w:rFonts w:cs="Humnst777LtCnEU-Normal"/>
                <w:sz w:val="14"/>
                <w:szCs w:val="16"/>
                <w:vertAlign w:val="superscript"/>
                <w:lang w:val="en-GB"/>
              </w:rPr>
              <w:t>st</w:t>
            </w:r>
            <w:r>
              <w:rPr>
                <w:rFonts w:cs="Humnst777LtCnEU-Normal"/>
                <w:sz w:val="14"/>
                <w:szCs w:val="16"/>
                <w:lang w:val="en-GB"/>
              </w:rPr>
              <w:t xml:space="preserve"> day of the month following the month when the first premium is paid. </w:t>
            </w:r>
          </w:p>
          <w:p w:rsidR="005823D8" w:rsidRPr="005823D8" w:rsidRDefault="00693EAB" w:rsidP="00134E5F">
            <w:pPr>
              <w:pStyle w:val="Akapitzlist"/>
              <w:numPr>
                <w:ilvl w:val="0"/>
                <w:numId w:val="10"/>
              </w:numPr>
              <w:ind w:left="142" w:hanging="142"/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 w:rsidRPr="005823D8">
              <w:rPr>
                <w:rFonts w:cs="Humnst777LtCnEU-Normal"/>
                <w:sz w:val="14"/>
                <w:szCs w:val="16"/>
                <w:lang w:val="en-GB"/>
              </w:rPr>
              <w:t xml:space="preserve">The agreement is </w:t>
            </w:r>
            <w:r w:rsidR="005823D8" w:rsidRPr="005823D8">
              <w:rPr>
                <w:rFonts w:cs="Humnst777LtCnEU-Normal"/>
                <w:sz w:val="14"/>
                <w:szCs w:val="16"/>
                <w:lang w:val="en-GB"/>
              </w:rPr>
              <w:t>c</w:t>
            </w:r>
            <w:r w:rsidR="005823D8">
              <w:rPr>
                <w:rFonts w:cs="Humnst777LtCnEU-Normal"/>
                <w:sz w:val="14"/>
                <w:szCs w:val="16"/>
                <w:lang w:val="en-GB"/>
              </w:rPr>
              <w:t>oncluded for a period of 12 months.</w:t>
            </w:r>
          </w:p>
          <w:p w:rsidR="0088077C" w:rsidRPr="005823D8" w:rsidRDefault="005823D8" w:rsidP="005823D8">
            <w:pPr>
              <w:pStyle w:val="Akapitzlist"/>
              <w:numPr>
                <w:ilvl w:val="0"/>
                <w:numId w:val="10"/>
              </w:numPr>
              <w:ind w:left="142" w:hanging="142"/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>
              <w:rPr>
                <w:rFonts w:cs="Humnst777LtCnEU-Normal"/>
                <w:sz w:val="14"/>
                <w:szCs w:val="16"/>
                <w:lang w:val="en-GB"/>
              </w:rPr>
              <w:t xml:space="preserve">The insurance cover ends if the Policyholder fails to pay a premium despite receiving a request for payment from TU ZDROWIE. TU ZDROWIE may in such a case terminate the insurance agreement. </w:t>
            </w:r>
          </w:p>
        </w:tc>
      </w:tr>
    </w:tbl>
    <w:p w:rsidR="00F66253" w:rsidRPr="005823D8" w:rsidRDefault="00F66253" w:rsidP="00F66253">
      <w:pPr>
        <w:spacing w:after="0" w:line="240" w:lineRule="auto"/>
        <w:jc w:val="both"/>
        <w:rPr>
          <w:rFonts w:cs="Arial"/>
          <w:b/>
          <w:color w:val="1F497D" w:themeColor="text2"/>
          <w:sz w:val="10"/>
          <w:lang w:val="en-GB"/>
        </w:rPr>
      </w:pPr>
    </w:p>
    <w:tbl>
      <w:tblPr>
        <w:tblStyle w:val="Tabela-Siatka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66253" w:rsidTr="00D342A0">
        <w:tc>
          <w:tcPr>
            <w:tcW w:w="9354" w:type="dxa"/>
            <w:shd w:val="clear" w:color="auto" w:fill="F2F2F2" w:themeFill="background1" w:themeFillShade="F2"/>
          </w:tcPr>
          <w:p w:rsidR="00F66253" w:rsidRPr="005823D8" w:rsidRDefault="00F66253" w:rsidP="00C87AA3">
            <w:pPr>
              <w:jc w:val="both"/>
              <w:rPr>
                <w:rFonts w:cs="Arial"/>
                <w:b/>
                <w:color w:val="1F497D" w:themeColor="text2"/>
                <w:sz w:val="20"/>
                <w:lang w:val="en-GB"/>
              </w:rPr>
            </w:pPr>
            <w:r w:rsidRPr="00307327">
              <w:rPr>
                <w:rFonts w:ascii="ArialMT" w:hAnsi="ArialMT" w:cs="ArialMT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2A7C8E95" wp14:editId="0776C2D9">
                  <wp:extent cx="220651" cy="214686"/>
                  <wp:effectExtent l="0" t="0" r="8255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48" cy="228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823D8" w:rsidRPr="005823D8">
              <w:rPr>
                <w:rFonts w:cs="Arial"/>
                <w:b/>
                <w:color w:val="1F497D" w:themeColor="text2"/>
                <w:sz w:val="18"/>
                <w:lang w:val="en-GB"/>
              </w:rPr>
              <w:t>How to terminate the a</w:t>
            </w:r>
            <w:r w:rsidR="005823D8">
              <w:rPr>
                <w:rFonts w:cs="Arial"/>
                <w:b/>
                <w:color w:val="1F497D" w:themeColor="text2"/>
                <w:sz w:val="18"/>
                <w:lang w:val="en-GB"/>
              </w:rPr>
              <w:t>greement?</w:t>
            </w:r>
          </w:p>
          <w:p w:rsidR="005823D8" w:rsidRPr="005823D8" w:rsidRDefault="005823D8" w:rsidP="005D1B1A">
            <w:pPr>
              <w:pStyle w:val="Akapitzlist"/>
              <w:numPr>
                <w:ilvl w:val="0"/>
                <w:numId w:val="10"/>
              </w:numPr>
              <w:ind w:left="142" w:hanging="142"/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 w:rsidRPr="005823D8">
              <w:rPr>
                <w:rFonts w:cs="Humnst777LtCnEU-Normal"/>
                <w:sz w:val="14"/>
                <w:szCs w:val="16"/>
                <w:lang w:val="en-GB"/>
              </w:rPr>
              <w:t>The Policyholder has the r</w:t>
            </w:r>
            <w:r>
              <w:rPr>
                <w:rFonts w:cs="Humnst777LtCnEU-Normal"/>
                <w:sz w:val="14"/>
                <w:szCs w:val="16"/>
                <w:lang w:val="en-GB"/>
              </w:rPr>
              <w:t xml:space="preserve">ight to withdraw from the insurance agreement within 30 days, and in case when the Policyholder is an entrepreneur within 7 days from the date of concluding the agreement. </w:t>
            </w:r>
          </w:p>
          <w:p w:rsidR="005D1B1A" w:rsidRDefault="005823D8" w:rsidP="005D1B1A">
            <w:pPr>
              <w:pStyle w:val="Akapitzlist"/>
              <w:numPr>
                <w:ilvl w:val="0"/>
                <w:numId w:val="10"/>
              </w:numPr>
              <w:ind w:left="142" w:hanging="142"/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 w:rsidRPr="005823D8">
              <w:rPr>
                <w:rFonts w:cs="Humnst777LtCnEU-Normal"/>
                <w:sz w:val="14"/>
                <w:szCs w:val="16"/>
                <w:lang w:val="en-GB"/>
              </w:rPr>
              <w:t>The Policyholder may terminate t</w:t>
            </w:r>
            <w:r>
              <w:rPr>
                <w:rFonts w:cs="Humnst777LtCnEU-Normal"/>
                <w:sz w:val="14"/>
                <w:szCs w:val="16"/>
                <w:lang w:val="en-GB"/>
              </w:rPr>
              <w:t xml:space="preserve">he insurance agreement at any time of its duration with a month’s notice counted from the last day of the month in which TU ZDROWIE SA received the termination notice. </w:t>
            </w:r>
          </w:p>
          <w:p w:rsidR="005D1B1A" w:rsidRPr="005E5BB1" w:rsidRDefault="005E5BB1" w:rsidP="005E5BB1">
            <w:pPr>
              <w:pStyle w:val="Akapitzlist"/>
              <w:numPr>
                <w:ilvl w:val="0"/>
                <w:numId w:val="10"/>
              </w:numPr>
              <w:ind w:left="142" w:hanging="142"/>
              <w:jc w:val="both"/>
              <w:rPr>
                <w:rFonts w:cs="Humnst777LtCnEU-Normal"/>
                <w:sz w:val="14"/>
                <w:szCs w:val="16"/>
                <w:lang w:val="en-GB"/>
              </w:rPr>
            </w:pPr>
            <w:r>
              <w:rPr>
                <w:rFonts w:cs="Humnst777LtCnEU-Normal"/>
                <w:sz w:val="14"/>
                <w:szCs w:val="16"/>
                <w:lang w:val="en-GB"/>
              </w:rPr>
              <w:t xml:space="preserve">Withdrawal and termination of the insurance agreement does not release the Policyholder from the obligation to pay the premium for the period during which the insurance cover is provided. </w:t>
            </w:r>
          </w:p>
        </w:tc>
      </w:tr>
    </w:tbl>
    <w:p w:rsidR="00F66253" w:rsidRPr="00BB33B0" w:rsidRDefault="00F66253" w:rsidP="00F66253">
      <w:pPr>
        <w:spacing w:after="0" w:line="240" w:lineRule="auto"/>
        <w:jc w:val="both"/>
        <w:rPr>
          <w:rFonts w:cs="Arial"/>
          <w:b/>
          <w:color w:val="1F497D" w:themeColor="text2"/>
          <w:sz w:val="10"/>
        </w:rPr>
      </w:pPr>
    </w:p>
    <w:sectPr w:rsidR="00F66253" w:rsidRPr="00BB33B0" w:rsidSect="00AA75F3">
      <w:headerReference w:type="default" r:id="rId19"/>
      <w:pgSz w:w="11906" w:h="16838"/>
      <w:pgMar w:top="709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CD9" w:rsidRDefault="002E3CD9" w:rsidP="00D342A0">
      <w:pPr>
        <w:spacing w:after="0" w:line="240" w:lineRule="auto"/>
      </w:pPr>
      <w:r>
        <w:separator/>
      </w:r>
    </w:p>
  </w:endnote>
  <w:endnote w:type="continuationSeparator" w:id="0">
    <w:p w:rsidR="002E3CD9" w:rsidRDefault="002E3CD9" w:rsidP="00D3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LtCnEU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CnEU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CD9" w:rsidRDefault="002E3CD9" w:rsidP="00D342A0">
      <w:pPr>
        <w:spacing w:after="0" w:line="240" w:lineRule="auto"/>
      </w:pPr>
      <w:r>
        <w:separator/>
      </w:r>
    </w:p>
  </w:footnote>
  <w:footnote w:type="continuationSeparator" w:id="0">
    <w:p w:rsidR="002E3CD9" w:rsidRDefault="002E3CD9" w:rsidP="00D34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B08" w:rsidRDefault="002E3CD9" w:rsidP="00084B08">
    <w:pPr>
      <w:pStyle w:val="Nagwek"/>
      <w:jc w:val="right"/>
    </w:pPr>
  </w:p>
  <w:p w:rsidR="00084B08" w:rsidRDefault="002E3C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CE3"/>
    <w:multiLevelType w:val="hybridMultilevel"/>
    <w:tmpl w:val="7FFEB84E"/>
    <w:lvl w:ilvl="0" w:tplc="83CCA924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71C"/>
    <w:multiLevelType w:val="hybridMultilevel"/>
    <w:tmpl w:val="518CF4E2"/>
    <w:lvl w:ilvl="0" w:tplc="07F8FC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17E92"/>
    <w:multiLevelType w:val="hybridMultilevel"/>
    <w:tmpl w:val="0000730A"/>
    <w:lvl w:ilvl="0" w:tplc="83CCA924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6D4B"/>
    <w:multiLevelType w:val="hybridMultilevel"/>
    <w:tmpl w:val="30E2D4FC"/>
    <w:lvl w:ilvl="0" w:tplc="FE8C0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31749"/>
    <w:multiLevelType w:val="hybridMultilevel"/>
    <w:tmpl w:val="A84A99A4"/>
    <w:lvl w:ilvl="0" w:tplc="83CCA924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C428C"/>
    <w:multiLevelType w:val="hybridMultilevel"/>
    <w:tmpl w:val="4E128C7C"/>
    <w:lvl w:ilvl="0" w:tplc="FE8C0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20D4A"/>
    <w:multiLevelType w:val="hybridMultilevel"/>
    <w:tmpl w:val="592430D6"/>
    <w:lvl w:ilvl="0" w:tplc="EE025C10">
      <w:start w:val="1"/>
      <w:numFmt w:val="lowerLetter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50BED"/>
    <w:multiLevelType w:val="hybridMultilevel"/>
    <w:tmpl w:val="E886E7CA"/>
    <w:lvl w:ilvl="0" w:tplc="83CCA924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11904"/>
    <w:multiLevelType w:val="hybridMultilevel"/>
    <w:tmpl w:val="B14AD6BC"/>
    <w:lvl w:ilvl="0" w:tplc="9B0A35C8">
      <w:start w:val="1"/>
      <w:numFmt w:val="bullet"/>
      <w:lvlText w:val="x"/>
      <w:lvlJc w:val="left"/>
      <w:pPr>
        <w:ind w:left="720" w:hanging="360"/>
      </w:pPr>
      <w:rPr>
        <w:rFonts w:ascii="Calibri" w:hAnsi="Calibri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C4B5A"/>
    <w:multiLevelType w:val="hybridMultilevel"/>
    <w:tmpl w:val="4A2ABCD2"/>
    <w:lvl w:ilvl="0" w:tplc="36D273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60BE4"/>
    <w:multiLevelType w:val="hybridMultilevel"/>
    <w:tmpl w:val="1CECE054"/>
    <w:lvl w:ilvl="0" w:tplc="B63C9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B6273"/>
    <w:multiLevelType w:val="hybridMultilevel"/>
    <w:tmpl w:val="AB28A0A6"/>
    <w:lvl w:ilvl="0" w:tplc="9B0A35C8">
      <w:start w:val="1"/>
      <w:numFmt w:val="bullet"/>
      <w:lvlText w:val="x"/>
      <w:lvlJc w:val="left"/>
      <w:pPr>
        <w:ind w:left="610" w:hanging="360"/>
      </w:pPr>
      <w:rPr>
        <w:rFonts w:ascii="Calibri" w:hAnsi="Calibri" w:hint="default"/>
        <w:color w:val="FF0000"/>
        <w:sz w:val="14"/>
        <w:szCs w:val="14"/>
      </w:rPr>
    </w:lvl>
    <w:lvl w:ilvl="1" w:tplc="D5EEAC4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523B9"/>
    <w:multiLevelType w:val="hybridMultilevel"/>
    <w:tmpl w:val="3822FC98"/>
    <w:lvl w:ilvl="0" w:tplc="FE8C0F9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12"/>
  </w:num>
  <w:num w:numId="10">
    <w:abstractNumId w:val="5"/>
  </w:num>
  <w:num w:numId="11">
    <w:abstractNumId w:val="3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53"/>
    <w:rsid w:val="0006058F"/>
    <w:rsid w:val="0006765F"/>
    <w:rsid w:val="000D0FD7"/>
    <w:rsid w:val="00132A0C"/>
    <w:rsid w:val="00134E5F"/>
    <w:rsid w:val="00136120"/>
    <w:rsid w:val="0014604E"/>
    <w:rsid w:val="00184755"/>
    <w:rsid w:val="001C2889"/>
    <w:rsid w:val="001C4B3E"/>
    <w:rsid w:val="00214F59"/>
    <w:rsid w:val="0024764B"/>
    <w:rsid w:val="00247781"/>
    <w:rsid w:val="002549AF"/>
    <w:rsid w:val="00256533"/>
    <w:rsid w:val="002E3CD9"/>
    <w:rsid w:val="00301438"/>
    <w:rsid w:val="003040F1"/>
    <w:rsid w:val="003252FF"/>
    <w:rsid w:val="004F5F39"/>
    <w:rsid w:val="00536A44"/>
    <w:rsid w:val="0056508D"/>
    <w:rsid w:val="0056642B"/>
    <w:rsid w:val="005823D8"/>
    <w:rsid w:val="00583C98"/>
    <w:rsid w:val="005D1B1A"/>
    <w:rsid w:val="005E5BB1"/>
    <w:rsid w:val="00605B12"/>
    <w:rsid w:val="00693EAB"/>
    <w:rsid w:val="006F4841"/>
    <w:rsid w:val="00704FF9"/>
    <w:rsid w:val="0072241E"/>
    <w:rsid w:val="00723A0B"/>
    <w:rsid w:val="007416EF"/>
    <w:rsid w:val="00754ADC"/>
    <w:rsid w:val="0077013E"/>
    <w:rsid w:val="007C54C2"/>
    <w:rsid w:val="008727EF"/>
    <w:rsid w:val="0088077C"/>
    <w:rsid w:val="0088173E"/>
    <w:rsid w:val="00893937"/>
    <w:rsid w:val="00941E42"/>
    <w:rsid w:val="009B2E15"/>
    <w:rsid w:val="009C73C5"/>
    <w:rsid w:val="009F4F7F"/>
    <w:rsid w:val="00A75E8E"/>
    <w:rsid w:val="00AA75F3"/>
    <w:rsid w:val="00AD39E1"/>
    <w:rsid w:val="00AF506D"/>
    <w:rsid w:val="00B57C81"/>
    <w:rsid w:val="00B7238C"/>
    <w:rsid w:val="00BA4BEB"/>
    <w:rsid w:val="00BC1013"/>
    <w:rsid w:val="00BE2CD3"/>
    <w:rsid w:val="00C4020B"/>
    <w:rsid w:val="00C75593"/>
    <w:rsid w:val="00C80C5A"/>
    <w:rsid w:val="00C849B1"/>
    <w:rsid w:val="00CA5451"/>
    <w:rsid w:val="00CB69BF"/>
    <w:rsid w:val="00CD10D2"/>
    <w:rsid w:val="00CD749A"/>
    <w:rsid w:val="00D25629"/>
    <w:rsid w:val="00D342A0"/>
    <w:rsid w:val="00D3764D"/>
    <w:rsid w:val="00D50F02"/>
    <w:rsid w:val="00D6536F"/>
    <w:rsid w:val="00DC161E"/>
    <w:rsid w:val="00E5532E"/>
    <w:rsid w:val="00EF5C35"/>
    <w:rsid w:val="00F23476"/>
    <w:rsid w:val="00F2544D"/>
    <w:rsid w:val="00F3463C"/>
    <w:rsid w:val="00F66253"/>
    <w:rsid w:val="00F663A5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12C1"/>
  <w15:docId w15:val="{8D8E348D-5E41-45EF-AC10-871E623B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2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6253"/>
    <w:pPr>
      <w:ind w:left="720"/>
      <w:contextualSpacing/>
    </w:pPr>
  </w:style>
  <w:style w:type="table" w:styleId="Tabela-Siatka">
    <w:name w:val="Table Grid"/>
    <w:basedOn w:val="Standardowy"/>
    <w:uiPriority w:val="59"/>
    <w:rsid w:val="00F6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253"/>
    <w:pPr>
      <w:autoSpaceDE w:val="0"/>
      <w:autoSpaceDN w:val="0"/>
      <w:adjustRightInd w:val="0"/>
      <w:spacing w:after="0" w:line="240" w:lineRule="auto"/>
    </w:pPr>
    <w:rPr>
      <w:rFonts w:ascii="Humnst777LtCnEU" w:hAnsi="Humnst777LtCnEU" w:cs="Humnst777LtCnEU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66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253"/>
  </w:style>
  <w:style w:type="paragraph" w:styleId="Stopka">
    <w:name w:val="footer"/>
    <w:basedOn w:val="Normalny"/>
    <w:link w:val="StopkaZnak"/>
    <w:uiPriority w:val="99"/>
    <w:unhideWhenUsed/>
    <w:rsid w:val="00F66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253"/>
  </w:style>
  <w:style w:type="paragraph" w:styleId="Tekstdymka">
    <w:name w:val="Balloon Text"/>
    <w:basedOn w:val="Normalny"/>
    <w:link w:val="TekstdymkaZnak"/>
    <w:uiPriority w:val="99"/>
    <w:semiHidden/>
    <w:unhideWhenUsed/>
    <w:rsid w:val="00F66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25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10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0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0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0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01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F4F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4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93BC7-7CCC-4F7A-A682-E3FF974A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3144</TotalTime>
  <Pages>2</Pages>
  <Words>1099</Words>
  <Characters>5623</Characters>
  <Application>Microsoft Office Word</Application>
  <DocSecurity>0</DocSecurity>
  <Lines>116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Domańska</dc:creator>
  <cp:lastModifiedBy>M02-0027</cp:lastModifiedBy>
  <cp:revision>9</cp:revision>
  <cp:lastPrinted>2019-04-17T14:49:00Z</cp:lastPrinted>
  <dcterms:created xsi:type="dcterms:W3CDTF">2020-03-06T11:12:00Z</dcterms:created>
  <dcterms:modified xsi:type="dcterms:W3CDTF">2020-03-08T16:14:00Z</dcterms:modified>
</cp:coreProperties>
</file>